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RPr="00E015AF" w14:paraId="100D3CC2" w14:textId="77777777" w:rsidTr="00467F85">
        <w:trPr>
          <w:trHeight w:val="1245"/>
        </w:trPr>
        <w:tc>
          <w:tcPr>
            <w:tcW w:w="5812" w:type="dxa"/>
          </w:tcPr>
          <w:p w14:paraId="562E778E" w14:textId="680CA93D" w:rsidR="002B0703" w:rsidRPr="00F41C1D" w:rsidRDefault="00E015AF" w:rsidP="002B0703">
            <w:pPr>
              <w:contextualSpacing/>
              <w:rPr>
                <w:rFonts w:ascii="PF Din Text Cond Pro Light" w:hAnsi="PF Din Text Cond Pro Light"/>
              </w:rPr>
            </w:pPr>
            <w:r w:rsidRPr="00BE19B1">
              <w:rPr>
                <w:noProof/>
                <w:sz w:val="16"/>
                <w:szCs w:val="16"/>
              </w:rPr>
              <w:drawing>
                <wp:inline distT="0" distB="0" distL="0" distR="0" wp14:anchorId="6A04A975" wp14:editId="4FE5CAA4">
                  <wp:extent cx="1816100" cy="482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D72FA" w14:textId="77777777"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</w:rPr>
            </w:pPr>
          </w:p>
          <w:p w14:paraId="4C20CC58" w14:textId="77777777" w:rsidR="00F41C1D" w:rsidRDefault="00F41C1D" w:rsidP="00F41C1D">
            <w:pPr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686" w:type="dxa"/>
          </w:tcPr>
          <w:p w14:paraId="7F567EC2" w14:textId="5D11C625" w:rsidR="002B0703" w:rsidRPr="00E015AF" w:rsidRDefault="00E015AF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E015AF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Interregional Distribution Grid Company of Centre, Public Joint-Stock Company</w:t>
            </w:r>
          </w:p>
          <w:p w14:paraId="3449D8C1" w14:textId="77777777" w:rsidR="002B0703" w:rsidRPr="00E015AF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  <w:lang w:val="en-US"/>
              </w:rPr>
            </w:pPr>
          </w:p>
        </w:tc>
      </w:tr>
      <w:tr w:rsidR="007D5988" w:rsidRPr="00E015AF" w14:paraId="7C915164" w14:textId="77777777" w:rsidTr="00CF6E6F">
        <w:trPr>
          <w:trHeight w:val="1237"/>
        </w:trPr>
        <w:tc>
          <w:tcPr>
            <w:tcW w:w="9498" w:type="dxa"/>
            <w:gridSpan w:val="2"/>
          </w:tcPr>
          <w:p w14:paraId="3F7A405B" w14:textId="77777777" w:rsidR="00E015AF" w:rsidRPr="00E015AF" w:rsidRDefault="00E015AF" w:rsidP="00E01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  <w:p w14:paraId="5003AFC9" w14:textId="77777777" w:rsidR="00E015AF" w:rsidRPr="00E015AF" w:rsidRDefault="00E015AF" w:rsidP="00E01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meeting of the Personnel and Remuneration Committee </w:t>
            </w:r>
          </w:p>
          <w:p w14:paraId="387B8BDC" w14:textId="77777777" w:rsidR="00E015AF" w:rsidRPr="00E015AF" w:rsidRDefault="00E015AF" w:rsidP="00E01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the Board of Directors of IDGC of Centre, PJSC </w:t>
            </w:r>
          </w:p>
          <w:p w14:paraId="3D8398FF" w14:textId="76B14897" w:rsidR="007D5988" w:rsidRPr="0033160F" w:rsidRDefault="00E015AF" w:rsidP="00E015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0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the form of absent voting</w:t>
            </w:r>
            <w:r w:rsidR="00635CEE" w:rsidRPr="0033160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)</w:t>
            </w:r>
          </w:p>
        </w:tc>
      </w:tr>
    </w:tbl>
    <w:p w14:paraId="6DEC529A" w14:textId="1B68C620" w:rsidR="00635CEE" w:rsidRPr="0033160F" w:rsidRDefault="00635CEE" w:rsidP="0006242C">
      <w:pPr>
        <w:widowControl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</w:t>
      </w:r>
      <w:r w:rsidR="00491509" w:rsidRPr="00331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02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>March</w:t>
      </w:r>
      <w:proofErr w:type="spellEnd"/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>Moscow</w:t>
      </w:r>
      <w:proofErr w:type="spellEnd"/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E015AF" w:rsidRPr="00E01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CF2D23" w:rsidRPr="003316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509" w:rsidRPr="00331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1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/</w:t>
      </w:r>
      <w:r w:rsidR="00CF2D23" w:rsidRPr="003316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2C20B09C" w14:textId="77777777" w:rsidR="00E015AF" w:rsidRPr="00E015AF" w:rsidRDefault="00E015AF" w:rsidP="00E015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15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Form of the meeting</w:t>
      </w:r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absent voting.</w:t>
      </w:r>
    </w:p>
    <w:p w14:paraId="7D24093D" w14:textId="77777777" w:rsidR="00E015AF" w:rsidRPr="00E015AF" w:rsidRDefault="00E015AF" w:rsidP="00E015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15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Total number of members of the Personnel and Remuneration Committee</w:t>
      </w:r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3 persons.</w:t>
      </w:r>
    </w:p>
    <w:p w14:paraId="6A836EAE" w14:textId="77777777" w:rsidR="00E015AF" w:rsidRPr="00E015AF" w:rsidRDefault="00E015AF" w:rsidP="00E015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15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Participants of the voting</w:t>
      </w:r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A.A. </w:t>
      </w:r>
      <w:proofErr w:type="spellStart"/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Bashinjaghyan</w:t>
      </w:r>
      <w:proofErr w:type="spellEnd"/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A.V. </w:t>
      </w:r>
      <w:proofErr w:type="spellStart"/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Golovtsov</w:t>
      </w:r>
      <w:proofErr w:type="spellEnd"/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L.A. </w:t>
      </w:r>
      <w:proofErr w:type="spellStart"/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Romanovskaya</w:t>
      </w:r>
      <w:proofErr w:type="spellEnd"/>
      <w:r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F39FD6D" w14:textId="77777777" w:rsidR="00E015AF" w:rsidRPr="00E015AF" w:rsidRDefault="00E015AF" w:rsidP="00E015A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Members</w:t>
      </w:r>
      <w:proofErr w:type="spellEnd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who</w:t>
      </w:r>
      <w:proofErr w:type="spellEnd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did</w:t>
      </w:r>
      <w:proofErr w:type="spellEnd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not</w:t>
      </w:r>
      <w:proofErr w:type="spellEnd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provide</w:t>
      </w:r>
      <w:proofErr w:type="spellEnd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0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questionnaires</w:t>
      </w:r>
      <w:proofErr w:type="spellEnd"/>
      <w:r w:rsidRPr="00E01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:</w:t>
      </w:r>
      <w:r w:rsidRPr="00E01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none</w:t>
      </w:r>
      <w:r w:rsidRPr="00E015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14:paraId="7EBC0DDE" w14:textId="77777777" w:rsidR="00E015AF" w:rsidRPr="00E015AF" w:rsidRDefault="00E015AF" w:rsidP="00E015A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015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quorum is </w:t>
      </w:r>
      <w:r w:rsidRPr="00E015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present.</w:t>
      </w:r>
    </w:p>
    <w:p w14:paraId="61894189" w14:textId="0F6D0499" w:rsidR="00635CEE" w:rsidRPr="0033160F" w:rsidRDefault="00E015AF" w:rsidP="00E015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015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Date of the minutes</w:t>
      </w:r>
      <w:r w:rsidR="00635CEE" w:rsidRPr="00331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: </w:t>
      </w:r>
      <w:r w:rsidR="00491509"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69025A"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="00CF2D23"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</w:t>
      </w:r>
      <w:r w:rsidR="00A76F5B"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CF2D23" w:rsidRPr="00E01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.2021</w:t>
      </w:r>
      <w:r w:rsidR="00635CEE" w:rsidRPr="003316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14:paraId="69A41E27" w14:textId="77777777" w:rsidR="00635CEE" w:rsidRPr="00E015AF" w:rsidRDefault="00635CEE" w:rsidP="00635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25AD5C" w14:textId="33C81DF0" w:rsidR="00635CEE" w:rsidRPr="0033160F" w:rsidRDefault="00E015AF" w:rsidP="00635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5A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AGENDA</w:t>
      </w:r>
      <w:r w:rsidR="00635CEE" w:rsidRPr="003316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</w:p>
    <w:p w14:paraId="3878918B" w14:textId="05A4C993" w:rsidR="00957F4B" w:rsidRPr="0096129C" w:rsidRDefault="00E015AF" w:rsidP="00957F4B">
      <w:pPr>
        <w:pStyle w:val="a7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29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On recommendations to the Board of Directors of the Company regarding the item </w:t>
      </w:r>
      <w:r w:rsidR="00491509" w:rsidRPr="0096129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«</w:t>
      </w:r>
      <w:r w:rsidR="0096129C" w:rsidRPr="0096129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 consideration of the assessment of the personal efficiency of General Director of IDGC of Centre, PJSC following the results of work for quarters 1-3 of 2020</w:t>
      </w:r>
      <w:r w:rsidR="00957F4B" w:rsidRPr="0096129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».</w:t>
      </w:r>
    </w:p>
    <w:p w14:paraId="04744349" w14:textId="77777777" w:rsidR="00CF2D23" w:rsidRPr="0096129C" w:rsidRDefault="00CF2D23" w:rsidP="008E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B460D6D" w14:textId="70C36494" w:rsidR="00957F4B" w:rsidRPr="0096129C" w:rsidRDefault="00E015AF" w:rsidP="00957F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Item</w:t>
      </w:r>
      <w:r w:rsidR="00957F4B" w:rsidRPr="009612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1. </w:t>
      </w:r>
      <w:r w:rsidRPr="009612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On recommendations to the Board of Directors of the Company regarding the item </w:t>
      </w:r>
      <w:r w:rsidR="00957F4B" w:rsidRPr="009612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«</w:t>
      </w:r>
      <w:r w:rsidR="0096129C" w:rsidRPr="009612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 consideration of the assessment of the personal efficiency of General Director of IDGC of Centre, PJSC following the results of work for quarters 1-3 of 2020</w:t>
      </w:r>
      <w:r w:rsidR="00957F4B" w:rsidRPr="009612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».</w:t>
      </w:r>
    </w:p>
    <w:p w14:paraId="497DFA7F" w14:textId="55E93EC0" w:rsidR="00957F4B" w:rsidRPr="0033160F" w:rsidRDefault="00D64DAB" w:rsidP="00957F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Decision</w:t>
      </w:r>
      <w:proofErr w:type="spellEnd"/>
      <w:r w:rsidR="00957F4B" w:rsidRPr="0033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0FFA332" w14:textId="0B426D85" w:rsidR="00957F4B" w:rsidRPr="003A200D" w:rsidRDefault="003A200D" w:rsidP="0095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 recommend that the Board of Directors of the Company take the following decision</w:t>
      </w:r>
      <w:r w:rsidR="00957F4B" w:rsidRPr="003A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246C75" w14:textId="4A933DE4" w:rsidR="00957F4B" w:rsidRPr="0096129C" w:rsidRDefault="00957F4B" w:rsidP="00957F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«1. </w:t>
      </w:r>
      <w:r w:rsidR="0096129C"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To approve the assessment of the personal efficiency of General Director of IDGC of Centre, PJSC, Igor Vladimirovich </w:t>
      </w:r>
      <w:proofErr w:type="spellStart"/>
      <w:r w:rsidR="0096129C"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Makovskiy</w:t>
      </w:r>
      <w:proofErr w:type="spellEnd"/>
      <w:r w:rsidR="0096129C"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, following the results of work for quarters 1-3 of 2020 in accordance with </w:t>
      </w:r>
      <w:r w:rsid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the </w:t>
      </w:r>
      <w:r w:rsidR="0096129C"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Appendix</w:t>
      </w:r>
      <w:r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</w:p>
    <w:p w14:paraId="1261C6A9" w14:textId="04BBD824" w:rsidR="00957F4B" w:rsidRPr="003A200D" w:rsidRDefault="00957F4B" w:rsidP="00957F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2. </w:t>
      </w:r>
      <w:r w:rsidR="0096129C"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Based on the results of the assessment of personal efficiency, to calculate the amount of the quarterly bonus based on the results of work for quarters 1-3 of 2020 in full for General Director of IDGC of Centre, PJSC, Igor Vladimirovich </w:t>
      </w:r>
      <w:proofErr w:type="spellStart"/>
      <w:r w:rsidR="0096129C" w:rsidRPr="009612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Makovskiy</w:t>
      </w:r>
      <w:proofErr w:type="spellEnd"/>
      <w:r w:rsidRPr="003A200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».</w:t>
      </w:r>
    </w:p>
    <w:p w14:paraId="2D444756" w14:textId="77777777" w:rsidR="003A200D" w:rsidRPr="003A200D" w:rsidRDefault="003A200D" w:rsidP="003A20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3A200D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Voting</w:t>
      </w:r>
      <w:proofErr w:type="spellEnd"/>
      <w:r w:rsidRPr="003A200D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3A200D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results</w:t>
      </w:r>
      <w:proofErr w:type="spellEnd"/>
      <w:r w:rsidRPr="003A20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2F718682" w14:textId="77777777" w:rsidR="003A200D" w:rsidRPr="003A200D" w:rsidRDefault="003A200D" w:rsidP="003A20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Astghik</w:t>
      </w:r>
      <w:proofErr w:type="spellEnd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Artashesovna</w:t>
      </w:r>
      <w:proofErr w:type="spellEnd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Bashinjaghyan</w:t>
      </w:r>
      <w:proofErr w:type="spellEnd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- «FOR»</w:t>
      </w:r>
    </w:p>
    <w:p w14:paraId="31420205" w14:textId="5B384512" w:rsidR="003A200D" w:rsidRPr="003A200D" w:rsidRDefault="003A200D" w:rsidP="003A20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Alexander </w:t>
      </w:r>
      <w:proofErr w:type="spellStart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Viktorovich</w:t>
      </w:r>
      <w:proofErr w:type="spellEnd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Golovtsov</w:t>
      </w:r>
      <w:proofErr w:type="spellEnd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«FOR»</w:t>
      </w:r>
    </w:p>
    <w:p w14:paraId="4C5436A8" w14:textId="18BEA180" w:rsidR="003A200D" w:rsidRPr="003A200D" w:rsidRDefault="003A200D" w:rsidP="003A20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Larisa </w:t>
      </w:r>
      <w:proofErr w:type="spellStart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Anatolievna</w:t>
      </w:r>
      <w:proofErr w:type="spellEnd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Romanovskaya</w:t>
      </w:r>
      <w:proofErr w:type="spellEnd"/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A2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«FOR»</w:t>
      </w:r>
    </w:p>
    <w:p w14:paraId="55C1B7C0" w14:textId="77777777" w:rsidR="003A200D" w:rsidRPr="003A200D" w:rsidRDefault="003A200D" w:rsidP="003A20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proofErr w:type="spellStart"/>
      <w:r w:rsidRPr="003A2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Total</w:t>
      </w:r>
      <w:proofErr w:type="spellEnd"/>
      <w:r w:rsidRPr="003A2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1495"/>
      </w:tblGrid>
      <w:tr w:rsidR="003A200D" w:rsidRPr="003A200D" w14:paraId="62AF9F0D" w14:textId="77777777" w:rsidTr="007B203A">
        <w:tc>
          <w:tcPr>
            <w:tcW w:w="2977" w:type="dxa"/>
            <w:hideMark/>
          </w:tcPr>
          <w:p w14:paraId="03B33019" w14:textId="77777777" w:rsidR="003A200D" w:rsidRPr="003A200D" w:rsidRDefault="003A200D" w:rsidP="007B203A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48DF6A" w14:textId="77777777" w:rsidR="003A200D" w:rsidRPr="003A200D" w:rsidRDefault="003A200D" w:rsidP="007B203A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A200D" w:rsidRPr="003A200D" w14:paraId="65F978F2" w14:textId="77777777" w:rsidTr="007B203A">
        <w:tc>
          <w:tcPr>
            <w:tcW w:w="2977" w:type="dxa"/>
            <w:hideMark/>
          </w:tcPr>
          <w:p w14:paraId="0675A2BF" w14:textId="77777777" w:rsidR="003A200D" w:rsidRPr="003A200D" w:rsidRDefault="003A200D" w:rsidP="007B203A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137E0" w14:textId="77777777" w:rsidR="003A200D" w:rsidRPr="003A200D" w:rsidRDefault="003A200D" w:rsidP="007B203A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A200D" w:rsidRPr="003A200D" w14:paraId="37C2855E" w14:textId="77777777" w:rsidTr="007B203A">
        <w:trPr>
          <w:trHeight w:val="83"/>
        </w:trPr>
        <w:tc>
          <w:tcPr>
            <w:tcW w:w="2977" w:type="dxa"/>
            <w:hideMark/>
          </w:tcPr>
          <w:p w14:paraId="2EA1BD52" w14:textId="77777777" w:rsidR="003A200D" w:rsidRPr="003A200D" w:rsidRDefault="003A200D" w:rsidP="007B203A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«ABSTAINED»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E8D1BA" w14:textId="77777777" w:rsidR="003A200D" w:rsidRPr="003A200D" w:rsidRDefault="003A200D" w:rsidP="007B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A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5E12FFD6" w14:textId="3C8334DA" w:rsidR="0001701D" w:rsidRPr="0033160F" w:rsidRDefault="003A200D" w:rsidP="000170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proofErr w:type="spellStart"/>
      <w:r w:rsidRPr="003A20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Decision</w:t>
      </w:r>
      <w:proofErr w:type="spellEnd"/>
      <w:r w:rsidRPr="003A20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3A20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is</w:t>
      </w:r>
      <w:proofErr w:type="spellEnd"/>
      <w:r w:rsidRPr="003A20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3A20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taken</w:t>
      </w:r>
      <w:proofErr w:type="spellEnd"/>
      <w:r w:rsidR="0001701D" w:rsidRPr="003316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</w:p>
    <w:p w14:paraId="19EDA104" w14:textId="77777777" w:rsidR="00C00A12" w:rsidRPr="003A200D" w:rsidRDefault="00C00A12" w:rsidP="00301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4C46DBFC" w14:textId="77777777" w:rsidR="0001701D" w:rsidRPr="003A200D" w:rsidRDefault="0001701D" w:rsidP="00301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0"/>
        <w:gridCol w:w="2410"/>
      </w:tblGrid>
      <w:tr w:rsidR="0092762B" w:rsidRPr="0033160F" w14:paraId="4D38AACB" w14:textId="77777777" w:rsidTr="003A200D">
        <w:tc>
          <w:tcPr>
            <w:tcW w:w="4673" w:type="dxa"/>
            <w:vAlign w:val="center"/>
          </w:tcPr>
          <w:p w14:paraId="557241F7" w14:textId="42582DF5" w:rsidR="004C4434" w:rsidRPr="003A200D" w:rsidRDefault="003A200D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A2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Chairperson of the Personnel and Remuneration Committee</w:t>
            </w:r>
          </w:p>
        </w:tc>
        <w:tc>
          <w:tcPr>
            <w:tcW w:w="2840" w:type="dxa"/>
            <w:vAlign w:val="center"/>
          </w:tcPr>
          <w:p w14:paraId="1B597E65" w14:textId="77777777" w:rsidR="004C4434" w:rsidRPr="003A200D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14:paraId="53529E1D" w14:textId="77777777" w:rsidR="00140758" w:rsidRPr="003A200D" w:rsidRDefault="00140758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2388ABEF" w14:textId="6B92BA04" w:rsidR="004C4434" w:rsidRPr="0033160F" w:rsidRDefault="003A200D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L.A. </w:t>
            </w:r>
            <w:proofErr w:type="spellStart"/>
            <w:r w:rsidRPr="003A2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Romanovskaya</w:t>
            </w:r>
            <w:proofErr w:type="spellEnd"/>
          </w:p>
        </w:tc>
      </w:tr>
      <w:tr w:rsidR="00780AED" w:rsidRPr="0033160F" w14:paraId="5439BC76" w14:textId="77777777" w:rsidTr="003A200D">
        <w:tc>
          <w:tcPr>
            <w:tcW w:w="4673" w:type="dxa"/>
            <w:vAlign w:val="center"/>
          </w:tcPr>
          <w:p w14:paraId="11FD05B7" w14:textId="77777777" w:rsidR="00780AED" w:rsidRPr="0033160F" w:rsidRDefault="00780AED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32D0FA66" w14:textId="77777777" w:rsidR="00780AED" w:rsidRPr="00780AED" w:rsidRDefault="00780AED" w:rsidP="00F00AB7">
            <w:pP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22E862" w14:textId="77777777" w:rsidR="00780AED" w:rsidRPr="0033160F" w:rsidRDefault="00780AED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762B" w:rsidRPr="0033160F" w14:paraId="658133A2" w14:textId="77777777" w:rsidTr="003A200D">
        <w:tc>
          <w:tcPr>
            <w:tcW w:w="4673" w:type="dxa"/>
            <w:vAlign w:val="center"/>
          </w:tcPr>
          <w:p w14:paraId="45FFD1EF" w14:textId="77777777" w:rsidR="0050091F" w:rsidRPr="0033160F" w:rsidRDefault="0050091F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02259A37" w14:textId="77777777" w:rsidR="0050091F" w:rsidRPr="0033160F" w:rsidRDefault="0050091F" w:rsidP="00F00AB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799E208" w14:textId="77777777" w:rsidR="0050091F" w:rsidRPr="0033160F" w:rsidRDefault="0050091F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762B" w:rsidRPr="0033160F" w14:paraId="7D50AB58" w14:textId="77777777" w:rsidTr="003A200D">
        <w:tc>
          <w:tcPr>
            <w:tcW w:w="4673" w:type="dxa"/>
            <w:vAlign w:val="center"/>
          </w:tcPr>
          <w:p w14:paraId="28A6BFD2" w14:textId="77777777" w:rsidR="004C4434" w:rsidRPr="0033160F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20199955" w14:textId="77777777" w:rsidR="004C4434" w:rsidRPr="0033160F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11C14A5" w14:textId="77777777" w:rsidR="004C4434" w:rsidRPr="0033160F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762B" w:rsidRPr="0033160F" w14:paraId="26D9790F" w14:textId="77777777" w:rsidTr="003A200D">
        <w:tc>
          <w:tcPr>
            <w:tcW w:w="4673" w:type="dxa"/>
            <w:vAlign w:val="center"/>
          </w:tcPr>
          <w:p w14:paraId="1ACA5205" w14:textId="4995A4B3" w:rsidR="0050091F" w:rsidRPr="003A200D" w:rsidRDefault="003A200D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A2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Secretary of the Personnel and Remuneration Committee</w:t>
            </w:r>
          </w:p>
        </w:tc>
        <w:tc>
          <w:tcPr>
            <w:tcW w:w="2840" w:type="dxa"/>
            <w:vAlign w:val="center"/>
          </w:tcPr>
          <w:p w14:paraId="5EB957D1" w14:textId="77777777" w:rsidR="0050091F" w:rsidRPr="003A200D" w:rsidRDefault="0050091F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14:paraId="076ACA24" w14:textId="0225239B" w:rsidR="0050091F" w:rsidRPr="0033160F" w:rsidRDefault="003A200D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S.V. </w:t>
            </w:r>
            <w:proofErr w:type="spellStart"/>
            <w:r w:rsidRPr="003A2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Lapinskaya</w:t>
            </w:r>
            <w:proofErr w:type="spellEnd"/>
          </w:p>
        </w:tc>
      </w:tr>
    </w:tbl>
    <w:p w14:paraId="0005EDD9" w14:textId="77777777" w:rsidR="004C4434" w:rsidRPr="00827E32" w:rsidRDefault="004C4434" w:rsidP="00DC47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sectPr w:rsidR="004C4434" w:rsidRPr="00827E32" w:rsidSect="00EB544B">
      <w:footerReference w:type="default" r:id="rId8"/>
      <w:pgSz w:w="11906" w:h="16838" w:code="9"/>
      <w:pgMar w:top="851" w:right="851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FAEB8" w14:textId="77777777" w:rsidR="00DC4245" w:rsidRDefault="00DC4245" w:rsidP="00037281">
      <w:pPr>
        <w:spacing w:after="0" w:line="240" w:lineRule="auto"/>
      </w:pPr>
      <w:r>
        <w:separator/>
      </w:r>
    </w:p>
  </w:endnote>
  <w:endnote w:type="continuationSeparator" w:id="0">
    <w:p w14:paraId="07250DC5" w14:textId="77777777" w:rsidR="00DC4245" w:rsidRDefault="00DC4245" w:rsidP="0003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79CCE" w14:textId="77777777" w:rsidR="00037281" w:rsidRDefault="00037281" w:rsidP="0003728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F053" w14:textId="77777777" w:rsidR="00DC4245" w:rsidRDefault="00DC4245" w:rsidP="00037281">
      <w:pPr>
        <w:spacing w:after="0" w:line="240" w:lineRule="auto"/>
      </w:pPr>
      <w:r>
        <w:separator/>
      </w:r>
    </w:p>
  </w:footnote>
  <w:footnote w:type="continuationSeparator" w:id="0">
    <w:p w14:paraId="2CE0D4D2" w14:textId="77777777" w:rsidR="00DC4245" w:rsidRDefault="00DC4245" w:rsidP="0003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2CB"/>
    <w:multiLevelType w:val="hybridMultilevel"/>
    <w:tmpl w:val="5184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0060"/>
    <w:multiLevelType w:val="hybridMultilevel"/>
    <w:tmpl w:val="783040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3" w15:restartNumberingAfterBreak="0">
    <w:nsid w:val="28BA1F38"/>
    <w:multiLevelType w:val="hybridMultilevel"/>
    <w:tmpl w:val="4330FC04"/>
    <w:lvl w:ilvl="0" w:tplc="B1C08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6129"/>
    <w:multiLevelType w:val="hybridMultilevel"/>
    <w:tmpl w:val="CB982F2E"/>
    <w:lvl w:ilvl="0" w:tplc="F57A08B8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3EE8"/>
    <w:multiLevelType w:val="hybridMultilevel"/>
    <w:tmpl w:val="F3A0C0D4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E83264"/>
    <w:multiLevelType w:val="hybridMultilevel"/>
    <w:tmpl w:val="C040FFAE"/>
    <w:lvl w:ilvl="0" w:tplc="75746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911D9"/>
    <w:multiLevelType w:val="hybridMultilevel"/>
    <w:tmpl w:val="7758F388"/>
    <w:lvl w:ilvl="0" w:tplc="35AEC57A">
      <w:start w:val="1"/>
      <w:numFmt w:val="decimal"/>
      <w:lvlText w:val="%1."/>
      <w:lvlJc w:val="left"/>
      <w:pPr>
        <w:ind w:left="5523" w:hanging="1128"/>
      </w:pPr>
      <w:rPr>
        <w:b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407D23"/>
    <w:multiLevelType w:val="hybridMultilevel"/>
    <w:tmpl w:val="D7B6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3C1C"/>
    <w:multiLevelType w:val="hybridMultilevel"/>
    <w:tmpl w:val="8A545A0E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7E1BDE"/>
    <w:multiLevelType w:val="hybridMultilevel"/>
    <w:tmpl w:val="85B4B566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0F1643"/>
    <w:multiLevelType w:val="hybridMultilevel"/>
    <w:tmpl w:val="26C4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51A5C"/>
    <w:multiLevelType w:val="hybridMultilevel"/>
    <w:tmpl w:val="DAA2339E"/>
    <w:lvl w:ilvl="0" w:tplc="892CE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247D"/>
    <w:multiLevelType w:val="hybridMultilevel"/>
    <w:tmpl w:val="48845ABC"/>
    <w:lvl w:ilvl="0" w:tplc="49FCC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0953"/>
    <w:multiLevelType w:val="hybridMultilevel"/>
    <w:tmpl w:val="6AACAAA4"/>
    <w:lvl w:ilvl="0" w:tplc="F7ECB00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646313"/>
    <w:multiLevelType w:val="hybridMultilevel"/>
    <w:tmpl w:val="53543B78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320AB7"/>
    <w:multiLevelType w:val="hybridMultilevel"/>
    <w:tmpl w:val="C674CF34"/>
    <w:lvl w:ilvl="0" w:tplc="0409000F">
      <w:start w:val="1"/>
      <w:numFmt w:val="decimal"/>
      <w:lvlText w:val="%1."/>
      <w:lvlJc w:val="left"/>
      <w:pPr>
        <w:ind w:left="688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2C50"/>
    <w:multiLevelType w:val="hybridMultilevel"/>
    <w:tmpl w:val="7060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8400D"/>
    <w:multiLevelType w:val="hybridMultilevel"/>
    <w:tmpl w:val="E3200504"/>
    <w:lvl w:ilvl="0" w:tplc="24E84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78EA"/>
    <w:multiLevelType w:val="hybridMultilevel"/>
    <w:tmpl w:val="C770C31A"/>
    <w:lvl w:ilvl="0" w:tplc="C82C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83FD7"/>
    <w:multiLevelType w:val="hybridMultilevel"/>
    <w:tmpl w:val="941EA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487F5E"/>
    <w:multiLevelType w:val="hybridMultilevel"/>
    <w:tmpl w:val="6F3A64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4" w15:restartNumberingAfterBreak="0">
    <w:nsid w:val="7B507968"/>
    <w:multiLevelType w:val="hybridMultilevel"/>
    <w:tmpl w:val="CE68E3A0"/>
    <w:lvl w:ilvl="0" w:tplc="81AE746A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</w:num>
  <w:num w:numId="7">
    <w:abstractNumId w:val="22"/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"/>
  </w:num>
  <w:num w:numId="13">
    <w:abstractNumId w:val="15"/>
  </w:num>
  <w:num w:numId="14">
    <w:abstractNumId w:val="5"/>
  </w:num>
  <w:num w:numId="15">
    <w:abstractNumId w:val="17"/>
  </w:num>
  <w:num w:numId="16">
    <w:abstractNumId w:val="24"/>
  </w:num>
  <w:num w:numId="17">
    <w:abstractNumId w:val="9"/>
  </w:num>
  <w:num w:numId="18">
    <w:abstractNumId w:val="2"/>
  </w:num>
  <w:num w:numId="19">
    <w:abstractNumId w:val="10"/>
  </w:num>
  <w:num w:numId="20">
    <w:abstractNumId w:val="23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125D"/>
    <w:rsid w:val="0001701D"/>
    <w:rsid w:val="00037281"/>
    <w:rsid w:val="0004594B"/>
    <w:rsid w:val="00055BEE"/>
    <w:rsid w:val="0006242C"/>
    <w:rsid w:val="000A5341"/>
    <w:rsid w:val="000D0AE4"/>
    <w:rsid w:val="00100906"/>
    <w:rsid w:val="0010314C"/>
    <w:rsid w:val="001303CB"/>
    <w:rsid w:val="00131BAC"/>
    <w:rsid w:val="00134FB1"/>
    <w:rsid w:val="00140758"/>
    <w:rsid w:val="001657F8"/>
    <w:rsid w:val="00180449"/>
    <w:rsid w:val="001A6D36"/>
    <w:rsid w:val="0020211E"/>
    <w:rsid w:val="00257121"/>
    <w:rsid w:val="002667C0"/>
    <w:rsid w:val="00267AE5"/>
    <w:rsid w:val="00287EA3"/>
    <w:rsid w:val="002B0703"/>
    <w:rsid w:val="002B3C89"/>
    <w:rsid w:val="002C7540"/>
    <w:rsid w:val="002F33F8"/>
    <w:rsid w:val="00300775"/>
    <w:rsid w:val="00301874"/>
    <w:rsid w:val="0033160F"/>
    <w:rsid w:val="00366F74"/>
    <w:rsid w:val="003817E0"/>
    <w:rsid w:val="00385889"/>
    <w:rsid w:val="003A200D"/>
    <w:rsid w:val="003A2445"/>
    <w:rsid w:val="003A75DD"/>
    <w:rsid w:val="003B23DF"/>
    <w:rsid w:val="003E3E06"/>
    <w:rsid w:val="00410DD7"/>
    <w:rsid w:val="00467F85"/>
    <w:rsid w:val="00491509"/>
    <w:rsid w:val="004C4434"/>
    <w:rsid w:val="004C5BA4"/>
    <w:rsid w:val="004E199E"/>
    <w:rsid w:val="005005FA"/>
    <w:rsid w:val="0050091F"/>
    <w:rsid w:val="005074AD"/>
    <w:rsid w:val="005158E5"/>
    <w:rsid w:val="00565F6B"/>
    <w:rsid w:val="005B1E5F"/>
    <w:rsid w:val="00621619"/>
    <w:rsid w:val="00635CEE"/>
    <w:rsid w:val="006849DB"/>
    <w:rsid w:val="0069025A"/>
    <w:rsid w:val="006C174A"/>
    <w:rsid w:val="006D37C6"/>
    <w:rsid w:val="006E2044"/>
    <w:rsid w:val="0070723B"/>
    <w:rsid w:val="00717E13"/>
    <w:rsid w:val="007242C6"/>
    <w:rsid w:val="00740B68"/>
    <w:rsid w:val="00765E8C"/>
    <w:rsid w:val="00767267"/>
    <w:rsid w:val="00780AED"/>
    <w:rsid w:val="007838FF"/>
    <w:rsid w:val="00790670"/>
    <w:rsid w:val="007A4D7B"/>
    <w:rsid w:val="007C124C"/>
    <w:rsid w:val="007D564C"/>
    <w:rsid w:val="007D5988"/>
    <w:rsid w:val="007F3DAB"/>
    <w:rsid w:val="007F73DF"/>
    <w:rsid w:val="00827E32"/>
    <w:rsid w:val="008849DF"/>
    <w:rsid w:val="008C641A"/>
    <w:rsid w:val="008E5483"/>
    <w:rsid w:val="008F4BDB"/>
    <w:rsid w:val="008F5D97"/>
    <w:rsid w:val="00906433"/>
    <w:rsid w:val="0092647B"/>
    <w:rsid w:val="0092762B"/>
    <w:rsid w:val="00932237"/>
    <w:rsid w:val="00937213"/>
    <w:rsid w:val="009426AD"/>
    <w:rsid w:val="00957F4B"/>
    <w:rsid w:val="0096129C"/>
    <w:rsid w:val="009715B1"/>
    <w:rsid w:val="00971CC6"/>
    <w:rsid w:val="00975E77"/>
    <w:rsid w:val="009B23E4"/>
    <w:rsid w:val="009D1C4B"/>
    <w:rsid w:val="00A034FF"/>
    <w:rsid w:val="00A238EF"/>
    <w:rsid w:val="00A518A8"/>
    <w:rsid w:val="00A53744"/>
    <w:rsid w:val="00A54D69"/>
    <w:rsid w:val="00A70241"/>
    <w:rsid w:val="00A76F5B"/>
    <w:rsid w:val="00A92976"/>
    <w:rsid w:val="00B54C20"/>
    <w:rsid w:val="00BC4552"/>
    <w:rsid w:val="00BD534C"/>
    <w:rsid w:val="00BF2400"/>
    <w:rsid w:val="00BF5287"/>
    <w:rsid w:val="00C00A12"/>
    <w:rsid w:val="00C254C7"/>
    <w:rsid w:val="00C30218"/>
    <w:rsid w:val="00C45750"/>
    <w:rsid w:val="00C53246"/>
    <w:rsid w:val="00C645E6"/>
    <w:rsid w:val="00C71D95"/>
    <w:rsid w:val="00C77965"/>
    <w:rsid w:val="00CA3AD3"/>
    <w:rsid w:val="00CD1F13"/>
    <w:rsid w:val="00CE4837"/>
    <w:rsid w:val="00CE537C"/>
    <w:rsid w:val="00CE6299"/>
    <w:rsid w:val="00CF2D23"/>
    <w:rsid w:val="00CF6E6F"/>
    <w:rsid w:val="00D43DB5"/>
    <w:rsid w:val="00D64DAB"/>
    <w:rsid w:val="00D76795"/>
    <w:rsid w:val="00DB77DB"/>
    <w:rsid w:val="00DC4245"/>
    <w:rsid w:val="00DC47BF"/>
    <w:rsid w:val="00DE59B7"/>
    <w:rsid w:val="00DF12FF"/>
    <w:rsid w:val="00E015AF"/>
    <w:rsid w:val="00E54D6E"/>
    <w:rsid w:val="00E54E14"/>
    <w:rsid w:val="00E84349"/>
    <w:rsid w:val="00EA6B97"/>
    <w:rsid w:val="00EB544B"/>
    <w:rsid w:val="00EB78F6"/>
    <w:rsid w:val="00EB799C"/>
    <w:rsid w:val="00F00AB7"/>
    <w:rsid w:val="00F34028"/>
    <w:rsid w:val="00F359A1"/>
    <w:rsid w:val="00F41C1D"/>
    <w:rsid w:val="00F55A66"/>
    <w:rsid w:val="00FB1BE3"/>
    <w:rsid w:val="00FC55D0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5BBC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657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281"/>
  </w:style>
  <w:style w:type="paragraph" w:styleId="aa">
    <w:name w:val="footer"/>
    <w:basedOn w:val="a"/>
    <w:link w:val="ab"/>
    <w:uiPriority w:val="99"/>
    <w:unhideWhenUsed/>
    <w:rsid w:val="0003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1678</Characters>
  <Application>Microsoft Office Word</Application>
  <DocSecurity>0</DocSecurity>
  <Lines>66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Карякина Мария Николаевна</dc:creator>
  <cp:keywords/>
  <dc:description/>
  <cp:lastModifiedBy>Олег Таранов</cp:lastModifiedBy>
  <cp:revision>9</cp:revision>
  <cp:lastPrinted>2021-03-29T08:24:00Z</cp:lastPrinted>
  <dcterms:created xsi:type="dcterms:W3CDTF">2021-03-30T15:41:00Z</dcterms:created>
  <dcterms:modified xsi:type="dcterms:W3CDTF">2021-03-30T16:06:00Z</dcterms:modified>
</cp:coreProperties>
</file>