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11F" w:rsidRDefault="00826CE7" w:rsidP="00913723">
      <w:pPr>
        <w:spacing w:after="0"/>
        <w:ind w:right="-425"/>
        <w:jc w:val="center"/>
        <w:rPr>
          <w:sz w:val="16"/>
          <w:szCs w:val="16"/>
        </w:rPr>
      </w:pPr>
      <w:bookmarkStart w:id="0" w:name="_GoBack"/>
      <w:bookmarkEnd w:id="0"/>
      <w:r w:rsidRPr="006D689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CDCE78" wp14:editId="5876A5D0">
                <wp:simplePos x="0" y="0"/>
                <wp:positionH relativeFrom="margin">
                  <wp:posOffset>3891915</wp:posOffset>
                </wp:positionH>
                <wp:positionV relativeFrom="paragraph">
                  <wp:posOffset>10795</wp:posOffset>
                </wp:positionV>
                <wp:extent cx="2385695" cy="101917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B3C" w:rsidRPr="00BA7B3C" w:rsidRDefault="00BA7B3C" w:rsidP="00BA7B3C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BA7B3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Interregional Distribution Grid Company of Centre, </w:t>
                            </w:r>
                          </w:p>
                          <w:p w:rsidR="00BA7B3C" w:rsidRPr="00BA7B3C" w:rsidRDefault="00BA7B3C" w:rsidP="00BA7B3C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BA7B3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Public Joint-Stock Company</w:t>
                            </w:r>
                          </w:p>
                          <w:p w:rsidR="00BA7B3C" w:rsidRPr="00BA7B3C" w:rsidRDefault="00BA7B3C" w:rsidP="00BA7B3C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BA7B3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2nd </w:t>
                            </w:r>
                            <w:proofErr w:type="spellStart"/>
                            <w:r w:rsidRPr="00BA7B3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Yamskaya</w:t>
                            </w:r>
                            <w:proofErr w:type="spellEnd"/>
                            <w:r w:rsidRPr="00BA7B3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, 4, Moscow, Russia, 127018</w:t>
                            </w:r>
                          </w:p>
                          <w:p w:rsidR="00BA7B3C" w:rsidRPr="00BA7B3C" w:rsidRDefault="00BA7B3C" w:rsidP="00BA7B3C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BA7B3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Tel.: +7 (495) 747-92-92, Fax: +7 (495) 747-92-95, </w:t>
                            </w:r>
                          </w:p>
                          <w:p w:rsidR="00BA7B3C" w:rsidRPr="00BA7B3C" w:rsidRDefault="00BA7B3C" w:rsidP="00BA7B3C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BA7B3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Power Engineers’ Direct Line: 8-800-50-50-115, </w:t>
                            </w:r>
                          </w:p>
                          <w:p w:rsidR="00BA7B3C" w:rsidRPr="008C114B" w:rsidRDefault="00BA7B3C" w:rsidP="00BA7B3C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C114B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Trust Line: +7 (495) 747-92-99,</w:t>
                            </w:r>
                          </w:p>
                          <w:p w:rsidR="006D6893" w:rsidRPr="00BA7B3C" w:rsidRDefault="00BA7B3C" w:rsidP="00BA7B3C">
                            <w:pPr>
                              <w:spacing w:after="0"/>
                              <w:ind w:right="-21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BA7B3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e-mail: posta@mrsk-1.ru, www.mrsk-1.ru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DCE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6.45pt;margin-top:.85pt;width:187.8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" filled="f" stroked="f">
                <v:textbox>
                  <w:txbxContent>
                    <w:p w:rsidR="00BA7B3C" w:rsidRPr="00BA7B3C" w:rsidRDefault="00BA7B3C" w:rsidP="00BA7B3C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 w:rsidRPr="00BA7B3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Interregional Distribution Grid Company of Centre, </w:t>
                      </w:r>
                    </w:p>
                    <w:p w:rsidR="00BA7B3C" w:rsidRPr="00BA7B3C" w:rsidRDefault="00BA7B3C" w:rsidP="00BA7B3C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 w:rsidRPr="00BA7B3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Public Joint-Stock Company</w:t>
                      </w:r>
                    </w:p>
                    <w:p w:rsidR="00BA7B3C" w:rsidRPr="00BA7B3C" w:rsidRDefault="00BA7B3C" w:rsidP="00BA7B3C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 w:rsidRPr="00BA7B3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2nd </w:t>
                      </w:r>
                      <w:proofErr w:type="spellStart"/>
                      <w:r w:rsidRPr="00BA7B3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Yamskaya</w:t>
                      </w:r>
                      <w:proofErr w:type="spellEnd"/>
                      <w:r w:rsidRPr="00BA7B3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, 4, Moscow, Russia, 127018</w:t>
                      </w:r>
                    </w:p>
                    <w:p w:rsidR="00BA7B3C" w:rsidRPr="00BA7B3C" w:rsidRDefault="00BA7B3C" w:rsidP="00BA7B3C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 w:rsidRPr="00BA7B3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Tel.: +7 (495) 747-92-92, Fax: +7 (495) 747-92-95, </w:t>
                      </w:r>
                    </w:p>
                    <w:p w:rsidR="00BA7B3C" w:rsidRPr="00BA7B3C" w:rsidRDefault="00BA7B3C" w:rsidP="00BA7B3C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 w:rsidRPr="00BA7B3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Power Engineers’ Direct Line: 8-800-50-50-115, </w:t>
                      </w:r>
                    </w:p>
                    <w:p w:rsidR="00BA7B3C" w:rsidRPr="008C114B" w:rsidRDefault="00BA7B3C" w:rsidP="00BA7B3C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 w:rsidRPr="008C114B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Trust Line: +7 (495) 747-92-99,</w:t>
                      </w:r>
                    </w:p>
                    <w:p w:rsidR="006D6893" w:rsidRPr="00BA7B3C" w:rsidRDefault="00BA7B3C" w:rsidP="00BA7B3C">
                      <w:pPr>
                        <w:spacing w:after="0"/>
                        <w:ind w:right="-21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 w:rsidRPr="00BA7B3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e-mail: posta@mrsk-1.ru, www.mrsk-1.ru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7B3C" w:rsidRPr="006560EF">
        <w:rPr>
          <w:noProof/>
          <w:sz w:val="16"/>
          <w:szCs w:val="16"/>
          <w:lang w:eastAsia="ru-RU"/>
        </w:rPr>
        <w:drawing>
          <wp:inline distT="0" distB="0" distL="0" distR="0" wp14:anchorId="372C3B71" wp14:editId="36F14048">
            <wp:extent cx="1816100" cy="48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B3C" w:rsidRPr="006560EF">
        <w:rPr>
          <w:noProof/>
          <w:sz w:val="16"/>
          <w:szCs w:val="16"/>
          <w:lang w:eastAsia="ru-RU"/>
        </w:rPr>
        <w:drawing>
          <wp:inline distT="0" distB="0" distL="0" distR="0" wp14:anchorId="0EDC89C4" wp14:editId="3D9DE52B">
            <wp:extent cx="1682750" cy="520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CE7" w:rsidRPr="008C114B" w:rsidRDefault="006D6893" w:rsidP="006D6893">
      <w:pPr>
        <w:spacing w:after="0"/>
        <w:rPr>
          <w:sz w:val="16"/>
          <w:szCs w:val="16"/>
          <w:lang w:val="en-US"/>
        </w:rPr>
      </w:pPr>
      <w:r w:rsidRPr="008C114B">
        <w:rPr>
          <w:sz w:val="16"/>
          <w:szCs w:val="16"/>
          <w:lang w:val="en-US"/>
        </w:rPr>
        <w:t xml:space="preserve"> </w:t>
      </w:r>
    </w:p>
    <w:p w:rsidR="0042711F" w:rsidRPr="008C114B" w:rsidRDefault="0042711F" w:rsidP="006D6893">
      <w:pPr>
        <w:spacing w:after="0"/>
        <w:rPr>
          <w:lang w:val="en-US"/>
        </w:rPr>
      </w:pPr>
    </w:p>
    <w:p w:rsidR="0042711F" w:rsidRPr="008C114B" w:rsidRDefault="0042711F" w:rsidP="006D6893">
      <w:pPr>
        <w:spacing w:after="0"/>
        <w:rPr>
          <w:sz w:val="16"/>
          <w:szCs w:val="16"/>
          <w:lang w:val="en-US"/>
        </w:rPr>
      </w:pPr>
    </w:p>
    <w:p w:rsidR="00EE3264" w:rsidRPr="008C114B" w:rsidRDefault="00EE3264" w:rsidP="00EE3264">
      <w:pPr>
        <w:widowControl w:val="0"/>
        <w:tabs>
          <w:tab w:val="left" w:pos="5670"/>
        </w:tabs>
        <w:spacing w:after="0" w:line="240" w:lineRule="auto"/>
        <w:jc w:val="both"/>
        <w:rPr>
          <w:sz w:val="16"/>
          <w:szCs w:val="16"/>
          <w:lang w:val="en-US"/>
        </w:rPr>
      </w:pPr>
    </w:p>
    <w:p w:rsidR="00710301" w:rsidRDefault="00710301" w:rsidP="00825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</w:p>
    <w:p w:rsidR="00BA7B3C" w:rsidRPr="00BA7B3C" w:rsidRDefault="00BA7B3C" w:rsidP="00BA7B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BA7B3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MINUTES</w:t>
      </w:r>
    </w:p>
    <w:p w:rsidR="00BA7B3C" w:rsidRPr="00BA7B3C" w:rsidRDefault="00BA7B3C" w:rsidP="00BA7B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of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meeting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of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the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Personnel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and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Remuneration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Committee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BA7B3C" w:rsidRPr="00BA7B3C" w:rsidRDefault="00BA7B3C" w:rsidP="00BA7B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of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the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Board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of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Directors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of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IDGC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of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Centre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, PJSC </w:t>
      </w:r>
    </w:p>
    <w:p w:rsidR="00825520" w:rsidRPr="00F70ED7" w:rsidRDefault="00BA7B3C" w:rsidP="00BA7B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(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in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the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form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of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absent</w:t>
      </w:r>
      <w:proofErr w:type="spellEnd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voting</w:t>
      </w:r>
      <w:proofErr w:type="spellEnd"/>
      <w:r w:rsidR="00825520" w:rsidRPr="00F70ED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)</w:t>
      </w:r>
    </w:p>
    <w:p w:rsidR="001368E9" w:rsidRPr="00E93356" w:rsidRDefault="001368E9" w:rsidP="00710301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0ED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«</w:t>
      </w:r>
      <w:r w:rsidR="00292E58"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</w:t>
      </w:r>
      <w:r w:rsidRPr="00F70ED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»</w:t>
      </w:r>
      <w:r w:rsidR="00DC5A38"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A7B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March</w:t>
      </w:r>
      <w:r w:rsidR="00CC4674"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A7B3C"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2018</w:t>
      </w:r>
      <w:r w:rsidR="00BA7B3C"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ab/>
      </w:r>
      <w:r w:rsidR="00BA7B3C"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ab/>
      </w:r>
      <w:r w:rsidR="00BA7B3C"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ab/>
        <w:t xml:space="preserve">               </w:t>
      </w:r>
      <w:proofErr w:type="spellStart"/>
      <w:r w:rsidR="00BA7B3C"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Moscow</w:t>
      </w:r>
      <w:proofErr w:type="spellEnd"/>
      <w:r w:rsidR="00BA7B3C"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                 </w:t>
      </w:r>
      <w:r w:rsidR="00BA7B3C"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ab/>
        <w:t xml:space="preserve">           </w:t>
      </w:r>
      <w:proofErr w:type="spellStart"/>
      <w:r w:rsidR="00BA7B3C"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No</w:t>
      </w:r>
      <w:proofErr w:type="spellEnd"/>
      <w:r w:rsidR="00BA7B3C" w:rsidRPr="00BA7B3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Pr="00F70ED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7F7BF6"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CC4674"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F70ED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/1</w:t>
      </w:r>
      <w:r w:rsidR="007F7BF6"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</w:p>
    <w:p w:rsidR="00E93356" w:rsidRPr="00E93356" w:rsidRDefault="00E93356" w:rsidP="00E933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33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Form of the meeting</w:t>
      </w:r>
      <w:r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absent voting.</w:t>
      </w:r>
    </w:p>
    <w:p w:rsidR="00E93356" w:rsidRPr="00E93356" w:rsidRDefault="00E93356" w:rsidP="00E933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33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Total number of members of the Personnel and Remuneration Committee</w:t>
      </w:r>
      <w:r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3 persons.</w:t>
      </w:r>
    </w:p>
    <w:p w:rsidR="00E93356" w:rsidRPr="00E93356" w:rsidRDefault="00E93356" w:rsidP="00E933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933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Participants of the voting</w:t>
      </w:r>
      <w:r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T.P. </w:t>
      </w:r>
      <w:proofErr w:type="spellStart"/>
      <w:r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Dronova</w:t>
      </w:r>
      <w:proofErr w:type="spellEnd"/>
      <w:r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Y.N. </w:t>
      </w:r>
      <w:proofErr w:type="spellStart"/>
      <w:r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Mangarov</w:t>
      </w:r>
      <w:proofErr w:type="spellEnd"/>
      <w:r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O.V. </w:t>
      </w:r>
      <w:proofErr w:type="spellStart"/>
      <w:r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Shatokhina</w:t>
      </w:r>
      <w:proofErr w:type="spellEnd"/>
      <w:r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E93356" w:rsidRPr="00E93356" w:rsidRDefault="00E93356" w:rsidP="00E9335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proofErr w:type="spellStart"/>
      <w:r w:rsidRPr="00E93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Members</w:t>
      </w:r>
      <w:proofErr w:type="spellEnd"/>
      <w:r w:rsidRPr="00E93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E93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who</w:t>
      </w:r>
      <w:proofErr w:type="spellEnd"/>
      <w:r w:rsidRPr="00E93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E93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did</w:t>
      </w:r>
      <w:proofErr w:type="spellEnd"/>
      <w:r w:rsidRPr="00E93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E93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not</w:t>
      </w:r>
      <w:proofErr w:type="spellEnd"/>
      <w:r w:rsidRPr="00E93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E93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provide</w:t>
      </w:r>
      <w:proofErr w:type="spellEnd"/>
      <w:r w:rsidRPr="00E93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E93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questionnaires</w:t>
      </w:r>
      <w:proofErr w:type="spellEnd"/>
      <w:r w:rsidRPr="00E93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:</w:t>
      </w:r>
      <w:r w:rsidRPr="00E933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none</w:t>
      </w:r>
      <w:r w:rsidRPr="00E9335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E93356" w:rsidRPr="00E93356" w:rsidRDefault="00E93356" w:rsidP="00E9335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E9335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The quorum is </w:t>
      </w:r>
      <w:r w:rsidRPr="00E9335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present</w:t>
      </w:r>
    </w:p>
    <w:p w:rsidR="001368E9" w:rsidRPr="00F70ED7" w:rsidRDefault="00E93356" w:rsidP="00E933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933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Date of the minutes</w:t>
      </w:r>
      <w:r w:rsidR="001368E9" w:rsidRPr="00F70ED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: </w:t>
      </w:r>
      <w:r w:rsidR="007F7BF6"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292E58"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7F7BF6"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.0</w:t>
      </w:r>
      <w:r w:rsidR="00CC4674"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7F7BF6" w:rsidRPr="00E933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.2018</w:t>
      </w:r>
      <w:r w:rsidR="001368E9" w:rsidRPr="00F70ED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</w:p>
    <w:p w:rsidR="001368E9" w:rsidRPr="00E93356" w:rsidRDefault="001368E9" w:rsidP="005B1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68E9" w:rsidRPr="00E93356" w:rsidRDefault="00E93356" w:rsidP="005B1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335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AGENDA</w:t>
      </w:r>
      <w:r w:rsidR="001368E9" w:rsidRPr="00F70ED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:</w:t>
      </w:r>
    </w:p>
    <w:p w:rsidR="00292E58" w:rsidRPr="00021D8F" w:rsidRDefault="00D8401A" w:rsidP="005B1E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21D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="000230FC" w:rsidRPr="00021D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="000230FC" w:rsidRPr="00021D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21D8F" w:rsidRPr="00021D8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 consideration of the performance of Deputies General Director of the Company and preparation of appropriate recommendations to General Director of the Company</w:t>
      </w:r>
      <w:r w:rsidR="00292E58" w:rsidRPr="00021D8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CC4674" w:rsidRPr="004E5377" w:rsidRDefault="00FD635F" w:rsidP="005B1E9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E5377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292E58" w:rsidRPr="004E5377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CC4674" w:rsidRPr="004E5377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</w:t>
      </w:r>
      <w:r w:rsidR="004E5377" w:rsidRPr="004E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 prior agreement of nominations for certain positions in the Executive Office of the Company, determined by the Board of Directors of the Company</w:t>
      </w:r>
      <w:r w:rsidR="00CC4674" w:rsidRPr="004E53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B16B8" w:rsidRPr="00FC0FB0" w:rsidRDefault="00CC4674" w:rsidP="005B1E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0F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3. </w:t>
      </w:r>
      <w:r w:rsidR="00FC0FB0" w:rsidRPr="00FC0F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On preliminary consideration of the draft corporate structure of the administrative office of IDGC of Centre - </w:t>
      </w:r>
      <w:proofErr w:type="spellStart"/>
      <w:r w:rsidR="00FC0FB0" w:rsidRPr="00FC0F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Tverenergo</w:t>
      </w:r>
      <w:proofErr w:type="spellEnd"/>
      <w:r w:rsidR="00FC0FB0" w:rsidRPr="00FC0F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division</w:t>
      </w:r>
      <w:r w:rsidR="00BB16B8" w:rsidRPr="00FC0F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B1E9A" w:rsidRPr="00FC0FB0" w:rsidRDefault="005B1E9A" w:rsidP="005B1E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91867" w:rsidRPr="00021D8F" w:rsidRDefault="00021D8F" w:rsidP="005B1E9A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lang w:val="en-US"/>
        </w:rPr>
      </w:pPr>
      <w:r w:rsidRPr="008C114B">
        <w:rPr>
          <w:rFonts w:ascii="Times New Roman" w:hAnsi="Times New Roman"/>
          <w:b/>
          <w:sz w:val="24"/>
          <w:szCs w:val="24"/>
          <w:lang w:val="en-US"/>
        </w:rPr>
        <w:t>Item</w:t>
      </w:r>
      <w:r w:rsidR="00991867" w:rsidRPr="008C114B">
        <w:rPr>
          <w:rFonts w:ascii="Times New Roman" w:hAnsi="Times New Roman"/>
          <w:b/>
          <w:sz w:val="24"/>
          <w:szCs w:val="24"/>
          <w:lang w:val="en-US"/>
        </w:rPr>
        <w:t xml:space="preserve"> 1. </w:t>
      </w:r>
      <w:r w:rsidRPr="00021D8F">
        <w:rPr>
          <w:rFonts w:ascii="Times New Roman" w:hAnsi="Times New Roman"/>
          <w:b/>
          <w:bCs/>
          <w:sz w:val="24"/>
          <w:szCs w:val="24"/>
          <w:lang w:val="en-US"/>
        </w:rPr>
        <w:t>On consideration of the performance of Deputies General Director of the Company and preparation of appropriate recommendations to General Director of the Company</w:t>
      </w:r>
      <w:r w:rsidR="00991867" w:rsidRPr="00021D8F">
        <w:rPr>
          <w:rFonts w:ascii="Times New Roman" w:hAnsi="Times New Roman"/>
          <w:b/>
          <w:color w:val="000000"/>
          <w:spacing w:val="-4"/>
          <w:sz w:val="24"/>
          <w:szCs w:val="24"/>
          <w:lang w:val="en-US"/>
        </w:rPr>
        <w:t>.</w:t>
      </w:r>
    </w:p>
    <w:p w:rsidR="00991867" w:rsidRPr="00DD589D" w:rsidRDefault="00021D8F" w:rsidP="005B1E9A">
      <w:pPr>
        <w:widowControl w:val="0"/>
        <w:spacing w:after="0" w:line="240" w:lineRule="auto"/>
        <w:ind w:right="-2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DD589D">
        <w:rPr>
          <w:rFonts w:ascii="Times New Roman" w:hAnsi="Times New Roman"/>
          <w:b/>
          <w:sz w:val="24"/>
          <w:szCs w:val="24"/>
          <w:lang w:val="en-US"/>
        </w:rPr>
        <w:t>Decision</w:t>
      </w:r>
      <w:r w:rsidR="00991867" w:rsidRPr="00DD589D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991867" w:rsidRPr="00DD589D" w:rsidRDefault="00DD589D" w:rsidP="005B1E9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D589D">
        <w:rPr>
          <w:rFonts w:ascii="Times New Roman" w:hAnsi="Times New Roman"/>
          <w:sz w:val="24"/>
          <w:szCs w:val="24"/>
          <w:lang w:val="en-US"/>
        </w:rPr>
        <w:t xml:space="preserve">In connection with the expiration of the term of office of </w:t>
      </w:r>
      <w:r w:rsidR="00566208" w:rsidRPr="00566208">
        <w:rPr>
          <w:rFonts w:ascii="Times New Roman" w:hAnsi="Times New Roman"/>
          <w:sz w:val="24"/>
          <w:szCs w:val="24"/>
          <w:lang w:val="en-US"/>
        </w:rPr>
        <w:t>Deputy General Director for Security</w:t>
      </w:r>
      <w:r w:rsidRPr="00DD589D">
        <w:rPr>
          <w:rFonts w:ascii="Times New Roman" w:hAnsi="Times New Roman"/>
          <w:sz w:val="24"/>
          <w:szCs w:val="24"/>
          <w:lang w:val="en-US"/>
        </w:rPr>
        <w:t xml:space="preserve"> of IDGC of Centre, PJSC, </w:t>
      </w:r>
      <w:r w:rsidR="00566208" w:rsidRPr="00566208">
        <w:rPr>
          <w:rFonts w:ascii="Times New Roman" w:hAnsi="Times New Roman"/>
          <w:sz w:val="24"/>
          <w:szCs w:val="24"/>
          <w:lang w:val="en-US"/>
        </w:rPr>
        <w:t xml:space="preserve">Vladimir Vladimirovich </w:t>
      </w:r>
      <w:proofErr w:type="spellStart"/>
      <w:r w:rsidR="00566208" w:rsidRPr="00566208">
        <w:rPr>
          <w:rFonts w:ascii="Times New Roman" w:hAnsi="Times New Roman"/>
          <w:sz w:val="24"/>
          <w:szCs w:val="24"/>
          <w:lang w:val="en-US"/>
        </w:rPr>
        <w:t>Ozhkalo</w:t>
      </w:r>
      <w:proofErr w:type="spellEnd"/>
      <w:r w:rsidRPr="00DD589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gramStart"/>
      <w:r w:rsidRPr="00DD589D">
        <w:rPr>
          <w:rFonts w:ascii="Times New Roman" w:hAnsi="Times New Roman"/>
          <w:sz w:val="24"/>
          <w:szCs w:val="24"/>
          <w:lang w:val="en-US"/>
        </w:rPr>
        <w:t>taking into account</w:t>
      </w:r>
      <w:proofErr w:type="gramEnd"/>
      <w:r w:rsidRPr="00DD589D">
        <w:rPr>
          <w:rFonts w:ascii="Times New Roman" w:hAnsi="Times New Roman"/>
          <w:sz w:val="24"/>
          <w:szCs w:val="24"/>
          <w:lang w:val="en-US"/>
        </w:rPr>
        <w:t xml:space="preserve"> his performance during his time in office, to recommend to General Director of the Company, O.Y. </w:t>
      </w:r>
      <w:proofErr w:type="spellStart"/>
      <w:r w:rsidRPr="00DD589D">
        <w:rPr>
          <w:rFonts w:ascii="Times New Roman" w:hAnsi="Times New Roman"/>
          <w:sz w:val="24"/>
          <w:szCs w:val="24"/>
          <w:lang w:val="en-US"/>
        </w:rPr>
        <w:t>Isaev</w:t>
      </w:r>
      <w:proofErr w:type="spellEnd"/>
      <w:r w:rsidRPr="00DD589D">
        <w:rPr>
          <w:rFonts w:ascii="Times New Roman" w:hAnsi="Times New Roman"/>
          <w:sz w:val="24"/>
          <w:szCs w:val="24"/>
          <w:lang w:val="en-US"/>
        </w:rPr>
        <w:t xml:space="preserve">, to conclude an employment agreement with </w:t>
      </w:r>
      <w:r w:rsidR="00566208" w:rsidRPr="00566208">
        <w:rPr>
          <w:rFonts w:ascii="Times New Roman" w:hAnsi="Times New Roman"/>
          <w:sz w:val="24"/>
          <w:szCs w:val="24"/>
          <w:lang w:val="en-US"/>
        </w:rPr>
        <w:t>V</w:t>
      </w:r>
      <w:r w:rsidR="00566208">
        <w:rPr>
          <w:rFonts w:ascii="Times New Roman" w:hAnsi="Times New Roman"/>
          <w:sz w:val="24"/>
          <w:szCs w:val="24"/>
          <w:lang w:val="en-US"/>
        </w:rPr>
        <w:t>.</w:t>
      </w:r>
      <w:r w:rsidR="00566208" w:rsidRPr="00566208">
        <w:rPr>
          <w:rFonts w:ascii="Times New Roman" w:hAnsi="Times New Roman"/>
          <w:sz w:val="24"/>
          <w:szCs w:val="24"/>
          <w:lang w:val="en-US"/>
        </w:rPr>
        <w:t>V</w:t>
      </w:r>
      <w:r w:rsidR="00566208">
        <w:rPr>
          <w:rFonts w:ascii="Times New Roman" w:hAnsi="Times New Roman"/>
          <w:sz w:val="24"/>
          <w:szCs w:val="24"/>
          <w:lang w:val="en-US"/>
        </w:rPr>
        <w:t>.</w:t>
      </w:r>
      <w:r w:rsidR="00566208" w:rsidRPr="0056620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66208" w:rsidRPr="00566208">
        <w:rPr>
          <w:rFonts w:ascii="Times New Roman" w:hAnsi="Times New Roman"/>
          <w:sz w:val="24"/>
          <w:szCs w:val="24"/>
          <w:lang w:val="en-US"/>
        </w:rPr>
        <w:t>Ozhkalo</w:t>
      </w:r>
      <w:proofErr w:type="spellEnd"/>
      <w:r w:rsidR="00566208" w:rsidRPr="005662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589D">
        <w:rPr>
          <w:rFonts w:ascii="Times New Roman" w:hAnsi="Times New Roman"/>
          <w:sz w:val="24"/>
          <w:szCs w:val="24"/>
          <w:lang w:val="en-US"/>
        </w:rPr>
        <w:t>for a new term until 30.04.2019 inclusive</w:t>
      </w:r>
      <w:r w:rsidR="00991867" w:rsidRPr="00DD589D">
        <w:rPr>
          <w:rFonts w:ascii="Times New Roman" w:hAnsi="Times New Roman"/>
          <w:sz w:val="24"/>
          <w:szCs w:val="24"/>
          <w:lang w:val="en-US"/>
        </w:rPr>
        <w:t>.</w:t>
      </w:r>
    </w:p>
    <w:p w:rsidR="00EC5B82" w:rsidRPr="00EC5B82" w:rsidRDefault="00EC5B82" w:rsidP="00EC5B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proofErr w:type="spellStart"/>
      <w:r w:rsidRPr="00EC5B82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Voting</w:t>
      </w:r>
      <w:proofErr w:type="spellEnd"/>
      <w:r w:rsidRPr="00EC5B82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proofErr w:type="spellStart"/>
      <w:r w:rsidRPr="00EC5B82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results</w:t>
      </w:r>
      <w:proofErr w:type="spellEnd"/>
      <w:r w:rsidRPr="00EC5B82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:</w:t>
      </w:r>
    </w:p>
    <w:p w:rsidR="00EC5B82" w:rsidRPr="00EC5B82" w:rsidRDefault="00EC5B82" w:rsidP="00EC5B82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Tatiana Petrovna </w:t>
      </w:r>
      <w:proofErr w:type="spellStart"/>
      <w:proofErr w:type="gram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Dronova</w:t>
      </w:r>
      <w:proofErr w:type="spellEnd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proofErr w:type="gramEnd"/>
      <w:r w:rsidRPr="00EC5B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- «FOR»</w:t>
      </w:r>
    </w:p>
    <w:p w:rsidR="00EC5B82" w:rsidRPr="00EC5B82" w:rsidRDefault="00EC5B82" w:rsidP="00EC5B82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Yury</w:t>
      </w:r>
      <w:proofErr w:type="spellEnd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Nikolayevich </w:t>
      </w:r>
      <w:proofErr w:type="spellStart"/>
      <w:proofErr w:type="gram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Mangarov</w:t>
      </w:r>
      <w:proofErr w:type="spellEnd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EC5B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EC5B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</w:r>
      <w:proofErr w:type="gramEnd"/>
      <w:r w:rsidRPr="00EC5B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- «FOR»</w:t>
      </w:r>
    </w:p>
    <w:p w:rsidR="00EC5B82" w:rsidRPr="00EC5B82" w:rsidRDefault="00EC5B82" w:rsidP="00EC5B82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Oxana Vladimirovna </w:t>
      </w:r>
      <w:proofErr w:type="spell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Shatokhina</w:t>
      </w:r>
      <w:proofErr w:type="spellEnd"/>
      <w:r w:rsidRPr="00EC5B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- «FOR»</w:t>
      </w:r>
    </w:p>
    <w:p w:rsidR="00EC5B82" w:rsidRPr="00EC5B82" w:rsidRDefault="00EC5B82" w:rsidP="00EC5B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</w:pPr>
      <w:proofErr w:type="spellStart"/>
      <w:r w:rsidRPr="00EC5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Total</w:t>
      </w:r>
      <w:proofErr w:type="spellEnd"/>
      <w:r w:rsidRPr="00EC5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EC5B82" w:rsidRPr="00EC5B82" w:rsidTr="0028483C">
        <w:tc>
          <w:tcPr>
            <w:tcW w:w="2617" w:type="dxa"/>
          </w:tcPr>
          <w:p w:rsidR="00EC5B82" w:rsidRPr="00EC5B82" w:rsidRDefault="00EC5B82" w:rsidP="00E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B82" w:rsidRPr="00EC5B82" w:rsidRDefault="00EC5B82" w:rsidP="00E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«3»</w:t>
            </w:r>
          </w:p>
        </w:tc>
      </w:tr>
      <w:tr w:rsidR="00EC5B82" w:rsidRPr="00EC5B82" w:rsidTr="0028483C">
        <w:tc>
          <w:tcPr>
            <w:tcW w:w="2617" w:type="dxa"/>
          </w:tcPr>
          <w:p w:rsidR="00EC5B82" w:rsidRPr="00EC5B82" w:rsidRDefault="00EC5B82" w:rsidP="00E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5B82" w:rsidRPr="00EC5B82" w:rsidRDefault="00EC5B82" w:rsidP="00E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«0»</w:t>
            </w:r>
          </w:p>
        </w:tc>
      </w:tr>
      <w:tr w:rsidR="00EC5B82" w:rsidRPr="00EC5B82" w:rsidTr="0028483C">
        <w:trPr>
          <w:trHeight w:val="83"/>
        </w:trPr>
        <w:tc>
          <w:tcPr>
            <w:tcW w:w="2617" w:type="dxa"/>
          </w:tcPr>
          <w:p w:rsidR="00EC5B82" w:rsidRPr="00EC5B82" w:rsidRDefault="00EC5B82" w:rsidP="00E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«ABSTAINED»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5B82" w:rsidRPr="00EC5B82" w:rsidRDefault="00EC5B82" w:rsidP="00E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«0»</w:t>
            </w:r>
          </w:p>
        </w:tc>
      </w:tr>
    </w:tbl>
    <w:p w:rsidR="00B459D2" w:rsidRPr="00F70ED7" w:rsidRDefault="00EC5B82" w:rsidP="005B1E9A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proofErr w:type="spell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Decision</w:t>
      </w:r>
      <w:proofErr w:type="spellEnd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</w:t>
      </w:r>
      <w:proofErr w:type="spell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is</w:t>
      </w:r>
      <w:proofErr w:type="spellEnd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</w:t>
      </w:r>
      <w:proofErr w:type="spell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taken</w:t>
      </w:r>
      <w:proofErr w:type="spellEnd"/>
      <w:r w:rsidR="00B459D2" w:rsidRPr="00F70ED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.</w:t>
      </w:r>
    </w:p>
    <w:p w:rsidR="00CC4674" w:rsidRPr="00F70ED7" w:rsidRDefault="00CC4674" w:rsidP="005B1E9A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ED7" w:rsidRPr="004E5377" w:rsidRDefault="00021D8F" w:rsidP="005B1E9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5377">
        <w:rPr>
          <w:rFonts w:ascii="Times New Roman" w:hAnsi="Times New Roman" w:cs="Times New Roman"/>
          <w:b/>
          <w:bCs/>
          <w:sz w:val="24"/>
          <w:szCs w:val="24"/>
          <w:lang w:val="en-US"/>
        </w:rPr>
        <w:t>Item</w:t>
      </w:r>
      <w:r w:rsidR="00F70ED7" w:rsidRPr="004E53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2. </w:t>
      </w:r>
      <w:r w:rsidR="004E5377" w:rsidRPr="004E5377">
        <w:rPr>
          <w:rFonts w:ascii="Times New Roman" w:hAnsi="Times New Roman" w:cs="Times New Roman"/>
          <w:b/>
          <w:bCs/>
          <w:sz w:val="24"/>
          <w:szCs w:val="24"/>
          <w:lang w:val="en-US"/>
        </w:rPr>
        <w:t>On prior agreement of nominations for certain positions in the Executive Office of the Company, determined by the Board of Directors of the Company</w:t>
      </w:r>
      <w:r w:rsidR="00F70ED7" w:rsidRPr="004E5377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F70ED7" w:rsidRPr="004E5377" w:rsidRDefault="00021D8F" w:rsidP="00F70E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5377">
        <w:rPr>
          <w:rFonts w:ascii="Times New Roman" w:hAnsi="Times New Roman" w:cs="Times New Roman"/>
          <w:b/>
          <w:bCs/>
          <w:sz w:val="24"/>
          <w:szCs w:val="24"/>
          <w:lang w:val="en-US"/>
        </w:rPr>
        <w:t>Decision</w:t>
      </w:r>
      <w:r w:rsidR="00F70ED7" w:rsidRPr="004E537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F70ED7" w:rsidRPr="004E5377" w:rsidRDefault="004E5377" w:rsidP="00F70ED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E5377">
        <w:rPr>
          <w:rFonts w:ascii="Times New Roman" w:hAnsi="Times New Roman" w:cs="Times New Roman"/>
          <w:bCs/>
          <w:sz w:val="24"/>
          <w:szCs w:val="24"/>
          <w:lang w:val="en-US"/>
        </w:rPr>
        <w:t>To recommend to the Board of Directors of the Company to take the following decision</w:t>
      </w:r>
      <w:r w:rsidR="00F70ED7" w:rsidRPr="004E5377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F70ED7" w:rsidRPr="004E5377" w:rsidRDefault="00F70ED7" w:rsidP="00F70ED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4E5377">
        <w:rPr>
          <w:rFonts w:ascii="Times New Roman" w:hAnsi="Times New Roman" w:cs="Times New Roman"/>
          <w:bCs/>
          <w:i/>
          <w:sz w:val="24"/>
          <w:szCs w:val="24"/>
          <w:lang w:val="en-US"/>
        </w:rPr>
        <w:t>«</w:t>
      </w:r>
      <w:r w:rsidR="004E5377" w:rsidRPr="004E537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To agree upon the nomination of </w:t>
      </w:r>
      <w:r w:rsidR="00890737" w:rsidRPr="0089073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Alexander </w:t>
      </w:r>
      <w:proofErr w:type="spellStart"/>
      <w:r w:rsidR="00890737" w:rsidRPr="00890737">
        <w:rPr>
          <w:rFonts w:ascii="Times New Roman" w:hAnsi="Times New Roman" w:cs="Times New Roman"/>
          <w:bCs/>
          <w:i/>
          <w:sz w:val="24"/>
          <w:szCs w:val="24"/>
          <w:lang w:val="en-US"/>
        </w:rPr>
        <w:t>Valer</w:t>
      </w:r>
      <w:r w:rsidR="00890737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="00890737" w:rsidRPr="00890737">
        <w:rPr>
          <w:rFonts w:ascii="Times New Roman" w:hAnsi="Times New Roman" w:cs="Times New Roman"/>
          <w:bCs/>
          <w:i/>
          <w:sz w:val="24"/>
          <w:szCs w:val="24"/>
          <w:lang w:val="en-US"/>
        </w:rPr>
        <w:t>evich</w:t>
      </w:r>
      <w:proofErr w:type="spellEnd"/>
      <w:r w:rsidR="00890737" w:rsidRPr="0089073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890737" w:rsidRPr="00890737">
        <w:rPr>
          <w:rFonts w:ascii="Times New Roman" w:hAnsi="Times New Roman" w:cs="Times New Roman"/>
          <w:bCs/>
          <w:i/>
          <w:sz w:val="24"/>
          <w:szCs w:val="24"/>
          <w:lang w:val="en-US"/>
        </w:rPr>
        <w:t>Inozemtsev</w:t>
      </w:r>
      <w:proofErr w:type="spellEnd"/>
      <w:r w:rsidR="00890737" w:rsidRPr="0089073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4E5377" w:rsidRPr="004E537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for the position of </w:t>
      </w:r>
      <w:r w:rsidR="003C4978" w:rsidRPr="003C4978">
        <w:rPr>
          <w:rFonts w:ascii="Times New Roman" w:hAnsi="Times New Roman" w:cs="Times New Roman"/>
          <w:bCs/>
          <w:i/>
          <w:sz w:val="24"/>
          <w:szCs w:val="24"/>
          <w:lang w:val="en-US"/>
        </w:rPr>
        <w:t>Deputy General Director for Economy and Finance</w:t>
      </w:r>
      <w:r w:rsidR="004E5377" w:rsidRPr="004E537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of IDGC of Centre, PJSC</w:t>
      </w:r>
      <w:r w:rsidRPr="004E5377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</w:p>
    <w:p w:rsidR="00EC5B82" w:rsidRPr="00EC5B82" w:rsidRDefault="00EC5B82" w:rsidP="00EC5B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proofErr w:type="spellStart"/>
      <w:r w:rsidRPr="00EC5B82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lastRenderedPageBreak/>
        <w:t>Voting</w:t>
      </w:r>
      <w:proofErr w:type="spellEnd"/>
      <w:r w:rsidRPr="00EC5B82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proofErr w:type="spellStart"/>
      <w:r w:rsidRPr="00EC5B82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results</w:t>
      </w:r>
      <w:proofErr w:type="spellEnd"/>
      <w:r w:rsidRPr="00EC5B82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:</w:t>
      </w:r>
    </w:p>
    <w:p w:rsidR="00EC5B82" w:rsidRPr="00EC5B82" w:rsidRDefault="00EC5B82" w:rsidP="00EC5B82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Tatiana Petrovna </w:t>
      </w:r>
      <w:proofErr w:type="spellStart"/>
      <w:proofErr w:type="gram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Dronova</w:t>
      </w:r>
      <w:proofErr w:type="spellEnd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proofErr w:type="gramEnd"/>
      <w:r w:rsidRPr="00EC5B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- «FOR»</w:t>
      </w:r>
    </w:p>
    <w:p w:rsidR="00EC5B82" w:rsidRPr="00EC5B82" w:rsidRDefault="00EC5B82" w:rsidP="00EC5B82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Yury</w:t>
      </w:r>
      <w:proofErr w:type="spellEnd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Nikolayevich </w:t>
      </w:r>
      <w:proofErr w:type="spellStart"/>
      <w:proofErr w:type="gram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Mangarov</w:t>
      </w:r>
      <w:proofErr w:type="spellEnd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EC5B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EC5B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</w:r>
      <w:proofErr w:type="gramEnd"/>
      <w:r w:rsidRPr="00EC5B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- «FOR»</w:t>
      </w:r>
    </w:p>
    <w:p w:rsidR="00EC5B82" w:rsidRPr="00EC5B82" w:rsidRDefault="00EC5B82" w:rsidP="00EC5B82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Oxana Vladimirovna </w:t>
      </w:r>
      <w:proofErr w:type="spell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Shatokhina</w:t>
      </w:r>
      <w:proofErr w:type="spellEnd"/>
      <w:r w:rsidRPr="00EC5B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- «FOR»</w:t>
      </w:r>
    </w:p>
    <w:p w:rsidR="00EC5B82" w:rsidRPr="00EC5B82" w:rsidRDefault="00EC5B82" w:rsidP="00EC5B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</w:pPr>
      <w:proofErr w:type="spellStart"/>
      <w:r w:rsidRPr="00EC5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Total</w:t>
      </w:r>
      <w:proofErr w:type="spellEnd"/>
      <w:r w:rsidRPr="00EC5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EC5B82" w:rsidRPr="00EC5B82" w:rsidTr="0028483C">
        <w:tc>
          <w:tcPr>
            <w:tcW w:w="2617" w:type="dxa"/>
          </w:tcPr>
          <w:p w:rsidR="00EC5B82" w:rsidRPr="00EC5B82" w:rsidRDefault="00EC5B82" w:rsidP="00E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B82" w:rsidRPr="00EC5B82" w:rsidRDefault="00EC5B82" w:rsidP="00E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«3»</w:t>
            </w:r>
          </w:p>
        </w:tc>
      </w:tr>
      <w:tr w:rsidR="00EC5B82" w:rsidRPr="00EC5B82" w:rsidTr="0028483C">
        <w:tc>
          <w:tcPr>
            <w:tcW w:w="2617" w:type="dxa"/>
          </w:tcPr>
          <w:p w:rsidR="00EC5B82" w:rsidRPr="00EC5B82" w:rsidRDefault="00EC5B82" w:rsidP="00E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5B82" w:rsidRPr="00EC5B82" w:rsidRDefault="00EC5B82" w:rsidP="00E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«0»</w:t>
            </w:r>
          </w:p>
        </w:tc>
      </w:tr>
      <w:tr w:rsidR="00EC5B82" w:rsidRPr="00EC5B82" w:rsidTr="0028483C">
        <w:trPr>
          <w:trHeight w:val="83"/>
        </w:trPr>
        <w:tc>
          <w:tcPr>
            <w:tcW w:w="2617" w:type="dxa"/>
          </w:tcPr>
          <w:p w:rsidR="00EC5B82" w:rsidRPr="00EC5B82" w:rsidRDefault="00EC5B82" w:rsidP="00E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«ABSTAINED»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5B82" w:rsidRPr="00EC5B82" w:rsidRDefault="00EC5B82" w:rsidP="00E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«0»</w:t>
            </w:r>
          </w:p>
        </w:tc>
      </w:tr>
    </w:tbl>
    <w:p w:rsidR="00F70ED7" w:rsidRPr="00F70ED7" w:rsidRDefault="00EC5B82" w:rsidP="00F70ED7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proofErr w:type="spell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Decision</w:t>
      </w:r>
      <w:proofErr w:type="spellEnd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</w:t>
      </w:r>
      <w:proofErr w:type="spell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is</w:t>
      </w:r>
      <w:proofErr w:type="spellEnd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</w:t>
      </w:r>
      <w:proofErr w:type="spell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taken</w:t>
      </w:r>
      <w:proofErr w:type="spellEnd"/>
      <w:r w:rsidR="00F70ED7" w:rsidRPr="00F70ED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.</w:t>
      </w:r>
    </w:p>
    <w:p w:rsidR="00F70ED7" w:rsidRPr="00F70ED7" w:rsidRDefault="00F70ED7" w:rsidP="00F70E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867" w:rsidRPr="00FC0FB0" w:rsidRDefault="00021D8F" w:rsidP="00991867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en-US"/>
        </w:rPr>
      </w:pPr>
      <w:r w:rsidRPr="008C114B">
        <w:rPr>
          <w:rFonts w:ascii="Times New Roman" w:hAnsi="Times New Roman"/>
          <w:b/>
          <w:sz w:val="24"/>
          <w:szCs w:val="24"/>
          <w:lang w:val="en-US"/>
        </w:rPr>
        <w:t>Item</w:t>
      </w:r>
      <w:r w:rsidR="00991867" w:rsidRPr="008C114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91867" w:rsidRPr="008C114B">
        <w:rPr>
          <w:rFonts w:ascii="Times New Roman" w:hAnsi="Times New Roman"/>
          <w:b/>
          <w:snapToGrid w:val="0"/>
          <w:sz w:val="24"/>
          <w:szCs w:val="24"/>
          <w:lang w:val="en-US"/>
        </w:rPr>
        <w:t>3</w:t>
      </w:r>
      <w:r w:rsidR="00991867" w:rsidRPr="008C114B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FC0FB0" w:rsidRPr="00FC0FB0">
        <w:rPr>
          <w:rFonts w:ascii="Times New Roman" w:hAnsi="Times New Roman"/>
          <w:b/>
          <w:sz w:val="24"/>
          <w:szCs w:val="24"/>
          <w:lang w:val="en-US"/>
        </w:rPr>
        <w:t xml:space="preserve">On preliminary consideration of the </w:t>
      </w:r>
      <w:r w:rsidR="00FC0FB0">
        <w:rPr>
          <w:rFonts w:ascii="Times New Roman" w:hAnsi="Times New Roman"/>
          <w:b/>
          <w:sz w:val="24"/>
          <w:szCs w:val="24"/>
          <w:lang w:val="en-US"/>
        </w:rPr>
        <w:t>draft</w:t>
      </w:r>
      <w:r w:rsidR="00FC0FB0" w:rsidRPr="00FC0FB0">
        <w:rPr>
          <w:rFonts w:ascii="Times New Roman" w:hAnsi="Times New Roman"/>
          <w:b/>
          <w:sz w:val="24"/>
          <w:szCs w:val="24"/>
          <w:lang w:val="en-US"/>
        </w:rPr>
        <w:t xml:space="preserve"> corporate structure of the administrative office of </w:t>
      </w:r>
      <w:r w:rsidR="00FC0FB0" w:rsidRPr="00FC0FB0"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  <w:t xml:space="preserve">IDGC of Centre - </w:t>
      </w:r>
      <w:proofErr w:type="spellStart"/>
      <w:r w:rsidR="00FC0FB0" w:rsidRPr="00FC0FB0"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  <w:t>Tverenergo</w:t>
      </w:r>
      <w:proofErr w:type="spellEnd"/>
      <w:r w:rsidR="00FC0FB0" w:rsidRPr="00FC0FB0"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  <w:t xml:space="preserve"> division</w:t>
      </w:r>
      <w:r w:rsidR="00991867" w:rsidRPr="00FC0FB0">
        <w:rPr>
          <w:rFonts w:ascii="Times New Roman" w:hAnsi="Times New Roman"/>
          <w:b/>
          <w:snapToGrid w:val="0"/>
          <w:sz w:val="24"/>
          <w:szCs w:val="24"/>
          <w:lang w:val="en-US"/>
        </w:rPr>
        <w:t>.</w:t>
      </w:r>
    </w:p>
    <w:p w:rsidR="00991867" w:rsidRPr="008C114B" w:rsidRDefault="00021D8F" w:rsidP="00991867">
      <w:pPr>
        <w:widowControl w:val="0"/>
        <w:spacing w:after="0" w:line="240" w:lineRule="auto"/>
        <w:ind w:right="-2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8C114B">
        <w:rPr>
          <w:rFonts w:ascii="Times New Roman" w:hAnsi="Times New Roman"/>
          <w:b/>
          <w:sz w:val="24"/>
          <w:szCs w:val="24"/>
          <w:lang w:val="en-US"/>
        </w:rPr>
        <w:t>Decision</w:t>
      </w:r>
      <w:r w:rsidR="00991867" w:rsidRPr="008C114B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991867" w:rsidRPr="00991D97" w:rsidRDefault="00991867" w:rsidP="00991867">
      <w:pPr>
        <w:widowControl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2F635B">
        <w:rPr>
          <w:rFonts w:ascii="Times New Roman" w:hAnsi="Times New Roman"/>
          <w:iCs/>
          <w:sz w:val="24"/>
          <w:szCs w:val="24"/>
          <w:lang w:val="en-US"/>
        </w:rPr>
        <w:t xml:space="preserve">1. </w:t>
      </w:r>
      <w:r w:rsidR="00F51A10" w:rsidRPr="002F635B">
        <w:rPr>
          <w:rFonts w:ascii="Times New Roman" w:hAnsi="Times New Roman"/>
          <w:iCs/>
          <w:sz w:val="24"/>
          <w:szCs w:val="24"/>
          <w:lang w:val="en-US"/>
        </w:rPr>
        <w:t xml:space="preserve">To approve the corporate structure of the administrative office of IDGC of Centre - </w:t>
      </w:r>
      <w:proofErr w:type="spellStart"/>
      <w:r w:rsidR="00F51A10" w:rsidRPr="002F635B">
        <w:rPr>
          <w:rFonts w:ascii="Times New Roman" w:hAnsi="Times New Roman"/>
          <w:iCs/>
          <w:sz w:val="24"/>
          <w:szCs w:val="24"/>
          <w:lang w:val="en-US"/>
        </w:rPr>
        <w:t>Tverenergo</w:t>
      </w:r>
      <w:proofErr w:type="spellEnd"/>
      <w:r w:rsidR="00F51A10" w:rsidRPr="002F635B">
        <w:rPr>
          <w:rFonts w:ascii="Times New Roman" w:hAnsi="Times New Roman"/>
          <w:iCs/>
          <w:sz w:val="24"/>
          <w:szCs w:val="24"/>
          <w:lang w:val="en-US"/>
        </w:rPr>
        <w:t xml:space="preserve"> division </w:t>
      </w:r>
      <w:r w:rsidR="002F635B" w:rsidRPr="002F635B">
        <w:rPr>
          <w:rFonts w:ascii="Times New Roman" w:hAnsi="Times New Roman"/>
          <w:iCs/>
          <w:sz w:val="24"/>
          <w:szCs w:val="24"/>
          <w:lang w:val="en-US"/>
        </w:rPr>
        <w:t xml:space="preserve">in accordance with Appendix # </w:t>
      </w:r>
      <w:r w:rsidR="002F635B">
        <w:rPr>
          <w:rFonts w:ascii="Times New Roman" w:hAnsi="Times New Roman"/>
          <w:iCs/>
          <w:sz w:val="24"/>
          <w:szCs w:val="24"/>
          <w:lang w:val="en-US"/>
        </w:rPr>
        <w:t>1</w:t>
      </w:r>
      <w:r w:rsidR="002F635B" w:rsidRPr="002F635B">
        <w:rPr>
          <w:rFonts w:ascii="Times New Roman" w:hAnsi="Times New Roman"/>
          <w:iCs/>
          <w:sz w:val="24"/>
          <w:szCs w:val="24"/>
          <w:lang w:val="en-US"/>
        </w:rPr>
        <w:t xml:space="preserve"> to this decision of the Personnel and Remuneration Committee</w:t>
      </w:r>
      <w:r w:rsidRPr="00991D97">
        <w:rPr>
          <w:rFonts w:ascii="Times New Roman" w:hAnsi="Times New Roman"/>
          <w:iCs/>
          <w:sz w:val="24"/>
          <w:szCs w:val="24"/>
          <w:lang w:val="en-US"/>
        </w:rPr>
        <w:t>.</w:t>
      </w:r>
    </w:p>
    <w:p w:rsidR="00991867" w:rsidRPr="00991D97" w:rsidRDefault="00991867" w:rsidP="00991867">
      <w:pPr>
        <w:widowControl w:val="0"/>
        <w:spacing w:after="0" w:line="240" w:lineRule="auto"/>
        <w:jc w:val="both"/>
        <w:rPr>
          <w:rFonts w:ascii="Times New Roman" w:hAnsi="Times New Roman"/>
          <w:bCs/>
          <w:spacing w:val="-2"/>
          <w:sz w:val="24"/>
          <w:szCs w:val="24"/>
          <w:lang w:val="en-US"/>
        </w:rPr>
      </w:pPr>
      <w:r w:rsidRPr="00991D97">
        <w:rPr>
          <w:rFonts w:ascii="Times New Roman" w:hAnsi="Times New Roman"/>
          <w:iCs/>
          <w:sz w:val="24"/>
          <w:szCs w:val="24"/>
          <w:lang w:val="en-US"/>
        </w:rPr>
        <w:t xml:space="preserve">2. </w:t>
      </w:r>
      <w:r w:rsidR="00991D97" w:rsidRPr="00991D97">
        <w:rPr>
          <w:rFonts w:ascii="Times New Roman" w:hAnsi="Times New Roman"/>
          <w:iCs/>
          <w:sz w:val="24"/>
          <w:szCs w:val="24"/>
          <w:lang w:val="en-US"/>
        </w:rPr>
        <w:t xml:space="preserve">To recommend to General Director of IDGC of Centre, PJSC, O.Y. </w:t>
      </w:r>
      <w:proofErr w:type="spellStart"/>
      <w:r w:rsidR="00991D97" w:rsidRPr="00991D97">
        <w:rPr>
          <w:rFonts w:ascii="Times New Roman" w:hAnsi="Times New Roman"/>
          <w:iCs/>
          <w:sz w:val="24"/>
          <w:szCs w:val="24"/>
          <w:lang w:val="en-US"/>
        </w:rPr>
        <w:t>Isaev</w:t>
      </w:r>
      <w:proofErr w:type="spellEnd"/>
      <w:r w:rsidR="00991D97" w:rsidRPr="00991D97">
        <w:rPr>
          <w:rFonts w:ascii="Times New Roman" w:hAnsi="Times New Roman"/>
          <w:iCs/>
          <w:sz w:val="24"/>
          <w:szCs w:val="24"/>
          <w:lang w:val="en-US"/>
        </w:rPr>
        <w:t xml:space="preserve">, to approve the corporate structure of the administrative office of IDGC of Centre - </w:t>
      </w:r>
      <w:proofErr w:type="spellStart"/>
      <w:r w:rsidR="00991D97" w:rsidRPr="00991D97">
        <w:rPr>
          <w:rFonts w:ascii="Times New Roman" w:hAnsi="Times New Roman"/>
          <w:iCs/>
          <w:sz w:val="24"/>
          <w:szCs w:val="24"/>
          <w:lang w:val="en-US"/>
        </w:rPr>
        <w:t>Tverenergo</w:t>
      </w:r>
      <w:proofErr w:type="spellEnd"/>
      <w:r w:rsidR="00991D97" w:rsidRPr="00991D97">
        <w:rPr>
          <w:rFonts w:ascii="Times New Roman" w:hAnsi="Times New Roman"/>
          <w:iCs/>
          <w:sz w:val="24"/>
          <w:szCs w:val="24"/>
          <w:lang w:val="en-US"/>
        </w:rPr>
        <w:t xml:space="preserve"> division</w:t>
      </w:r>
      <w:r w:rsidRPr="00991D97"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r w:rsidR="00991D97" w:rsidRPr="00991D97">
        <w:rPr>
          <w:rFonts w:ascii="Times New Roman" w:hAnsi="Times New Roman"/>
          <w:iCs/>
          <w:sz w:val="24"/>
          <w:szCs w:val="24"/>
          <w:lang w:val="en-US"/>
        </w:rPr>
        <w:t xml:space="preserve">in accordance with </w:t>
      </w:r>
      <w:r w:rsidR="00991D97">
        <w:rPr>
          <w:rFonts w:ascii="Times New Roman" w:hAnsi="Times New Roman"/>
          <w:iCs/>
          <w:sz w:val="24"/>
          <w:szCs w:val="24"/>
          <w:lang w:val="en-US"/>
        </w:rPr>
        <w:t>the a</w:t>
      </w:r>
      <w:r w:rsidR="00991D97" w:rsidRPr="00991D97">
        <w:rPr>
          <w:rFonts w:ascii="Times New Roman" w:hAnsi="Times New Roman"/>
          <w:iCs/>
          <w:sz w:val="24"/>
          <w:szCs w:val="24"/>
          <w:lang w:val="en-US"/>
        </w:rPr>
        <w:t>ppendi</w:t>
      </w:r>
      <w:r w:rsidR="00991D97">
        <w:rPr>
          <w:rFonts w:ascii="Times New Roman" w:hAnsi="Times New Roman"/>
          <w:iCs/>
          <w:sz w:val="24"/>
          <w:szCs w:val="24"/>
          <w:lang w:val="en-US"/>
        </w:rPr>
        <w:t xml:space="preserve">x </w:t>
      </w:r>
      <w:r w:rsidR="00991D97" w:rsidRPr="00991D97">
        <w:rPr>
          <w:rFonts w:ascii="Times New Roman" w:hAnsi="Times New Roman"/>
          <w:iCs/>
          <w:sz w:val="24"/>
          <w:szCs w:val="24"/>
          <w:lang w:val="en-US"/>
        </w:rPr>
        <w:t>to this decision</w:t>
      </w:r>
      <w:r w:rsidRPr="00991D97">
        <w:rPr>
          <w:rFonts w:ascii="Times New Roman" w:hAnsi="Times New Roman"/>
          <w:bCs/>
          <w:spacing w:val="-2"/>
          <w:sz w:val="24"/>
          <w:szCs w:val="24"/>
          <w:lang w:val="en-US"/>
        </w:rPr>
        <w:t>.</w:t>
      </w:r>
    </w:p>
    <w:p w:rsidR="00EC5B82" w:rsidRPr="00EC5B82" w:rsidRDefault="00EC5B82" w:rsidP="00EC5B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proofErr w:type="spellStart"/>
      <w:r w:rsidRPr="00EC5B82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Voting</w:t>
      </w:r>
      <w:proofErr w:type="spellEnd"/>
      <w:r w:rsidRPr="00EC5B82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proofErr w:type="spellStart"/>
      <w:r w:rsidRPr="00EC5B82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results</w:t>
      </w:r>
      <w:proofErr w:type="spellEnd"/>
      <w:r w:rsidRPr="00EC5B82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:</w:t>
      </w:r>
    </w:p>
    <w:p w:rsidR="00EC5B82" w:rsidRPr="00EC5B82" w:rsidRDefault="00EC5B82" w:rsidP="00EC5B82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Tatiana Petrovna </w:t>
      </w:r>
      <w:proofErr w:type="spellStart"/>
      <w:proofErr w:type="gram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Dronova</w:t>
      </w:r>
      <w:proofErr w:type="spellEnd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proofErr w:type="gramEnd"/>
      <w:r w:rsidRPr="00EC5B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- «FOR»</w:t>
      </w:r>
    </w:p>
    <w:p w:rsidR="00EC5B82" w:rsidRPr="00EC5B82" w:rsidRDefault="00EC5B82" w:rsidP="00EC5B82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Yury</w:t>
      </w:r>
      <w:proofErr w:type="spellEnd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Nikolayevich </w:t>
      </w:r>
      <w:proofErr w:type="spellStart"/>
      <w:proofErr w:type="gram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Mangarov</w:t>
      </w:r>
      <w:proofErr w:type="spellEnd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EC5B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EC5B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</w:r>
      <w:proofErr w:type="gramEnd"/>
      <w:r w:rsidRPr="00EC5B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- «FOR»</w:t>
      </w:r>
    </w:p>
    <w:p w:rsidR="00EC5B82" w:rsidRPr="00EC5B82" w:rsidRDefault="00EC5B82" w:rsidP="00EC5B82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Oxana Vladimirovna </w:t>
      </w:r>
      <w:proofErr w:type="spell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Shatokhina</w:t>
      </w:r>
      <w:proofErr w:type="spellEnd"/>
      <w:r w:rsidRPr="00EC5B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ab/>
        <w:t>- «FOR»</w:t>
      </w:r>
    </w:p>
    <w:p w:rsidR="00EC5B82" w:rsidRPr="00EC5B82" w:rsidRDefault="00EC5B82" w:rsidP="00EC5B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</w:pPr>
      <w:proofErr w:type="spellStart"/>
      <w:r w:rsidRPr="00EC5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Total</w:t>
      </w:r>
      <w:proofErr w:type="spellEnd"/>
      <w:r w:rsidRPr="00EC5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EC5B82" w:rsidRPr="00EC5B82" w:rsidTr="0028483C">
        <w:tc>
          <w:tcPr>
            <w:tcW w:w="2617" w:type="dxa"/>
          </w:tcPr>
          <w:p w:rsidR="00EC5B82" w:rsidRPr="00EC5B82" w:rsidRDefault="00EC5B82" w:rsidP="00E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B82" w:rsidRPr="00EC5B82" w:rsidRDefault="00EC5B82" w:rsidP="00E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«3»</w:t>
            </w:r>
          </w:p>
        </w:tc>
      </w:tr>
      <w:tr w:rsidR="00EC5B82" w:rsidRPr="00EC5B82" w:rsidTr="0028483C">
        <w:tc>
          <w:tcPr>
            <w:tcW w:w="2617" w:type="dxa"/>
          </w:tcPr>
          <w:p w:rsidR="00EC5B82" w:rsidRPr="00EC5B82" w:rsidRDefault="00EC5B82" w:rsidP="00E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5B82" w:rsidRPr="00EC5B82" w:rsidRDefault="00EC5B82" w:rsidP="00E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«0»</w:t>
            </w:r>
          </w:p>
        </w:tc>
      </w:tr>
      <w:tr w:rsidR="00EC5B82" w:rsidRPr="00EC5B82" w:rsidTr="0028483C">
        <w:trPr>
          <w:trHeight w:val="83"/>
        </w:trPr>
        <w:tc>
          <w:tcPr>
            <w:tcW w:w="2617" w:type="dxa"/>
          </w:tcPr>
          <w:p w:rsidR="00EC5B82" w:rsidRPr="00EC5B82" w:rsidRDefault="00EC5B82" w:rsidP="00E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«ABSTAINED»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5B82" w:rsidRPr="00EC5B82" w:rsidRDefault="00EC5B82" w:rsidP="00EC5B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«0»</w:t>
            </w:r>
          </w:p>
        </w:tc>
      </w:tr>
    </w:tbl>
    <w:p w:rsidR="002E1002" w:rsidRPr="00F70ED7" w:rsidRDefault="00EC5B82" w:rsidP="002E1002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proofErr w:type="spell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Decision</w:t>
      </w:r>
      <w:proofErr w:type="spellEnd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</w:t>
      </w:r>
      <w:proofErr w:type="spell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is</w:t>
      </w:r>
      <w:proofErr w:type="spellEnd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</w:t>
      </w:r>
      <w:proofErr w:type="spellStart"/>
      <w:r w:rsidRPr="00EC5B8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taken</w:t>
      </w:r>
      <w:proofErr w:type="spellEnd"/>
      <w:r w:rsidR="002E1002" w:rsidRPr="00F70ED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.</w:t>
      </w:r>
    </w:p>
    <w:p w:rsidR="002E1002" w:rsidRPr="00F70ED7" w:rsidRDefault="002E1002" w:rsidP="001368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1F49" w:rsidRPr="001A2489" w:rsidRDefault="001A2489" w:rsidP="009918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2"/>
          <w:lang w:val="en-US" w:eastAsia="ru-RU"/>
        </w:rPr>
      </w:pPr>
      <w:r w:rsidRPr="004C7F48">
        <w:rPr>
          <w:rFonts w:ascii="Times New Roman" w:eastAsia="Times New Roman" w:hAnsi="Times New Roman" w:cs="Times New Roman"/>
          <w:b/>
          <w:spacing w:val="2"/>
          <w:lang w:val="en-US" w:eastAsia="ru-RU"/>
        </w:rPr>
        <w:t>Appendix</w:t>
      </w:r>
      <w:r w:rsidR="00931F49" w:rsidRPr="001A2489">
        <w:rPr>
          <w:rFonts w:ascii="Times New Roman" w:eastAsia="Times New Roman" w:hAnsi="Times New Roman" w:cs="Times New Roman"/>
          <w:b/>
          <w:spacing w:val="2"/>
          <w:lang w:val="en-US" w:eastAsia="ru-RU"/>
        </w:rPr>
        <w:t>:</w:t>
      </w:r>
      <w:r w:rsidR="00991867" w:rsidRPr="001A2489">
        <w:rPr>
          <w:rFonts w:ascii="Times New Roman" w:eastAsia="Times New Roman" w:hAnsi="Times New Roman" w:cs="Times New Roman"/>
          <w:b/>
          <w:spacing w:val="2"/>
          <w:lang w:val="en-US" w:eastAsia="ru-RU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T</w:t>
      </w:r>
      <w:r w:rsidRPr="001A2489">
        <w:rPr>
          <w:rFonts w:ascii="Times New Roman" w:hAnsi="Times New Roman" w:cs="Times New Roman"/>
          <w:bCs/>
          <w:lang w:val="en-US"/>
        </w:rPr>
        <w:t xml:space="preserve">he draft corporate structure of the administrative office of IDGC of Centre - </w:t>
      </w:r>
      <w:proofErr w:type="spellStart"/>
      <w:r w:rsidRPr="001A2489">
        <w:rPr>
          <w:rFonts w:ascii="Times New Roman" w:hAnsi="Times New Roman" w:cs="Times New Roman"/>
          <w:bCs/>
          <w:lang w:val="en-US"/>
        </w:rPr>
        <w:t>Tverenergo</w:t>
      </w:r>
      <w:proofErr w:type="spellEnd"/>
      <w:r w:rsidRPr="001A2489">
        <w:rPr>
          <w:rFonts w:ascii="Times New Roman" w:hAnsi="Times New Roman" w:cs="Times New Roman"/>
          <w:bCs/>
          <w:lang w:val="en-US"/>
        </w:rPr>
        <w:t xml:space="preserve"> division </w:t>
      </w:r>
      <w:r w:rsidR="00931F49" w:rsidRPr="001A2489">
        <w:rPr>
          <w:rFonts w:ascii="Times New Roman" w:eastAsia="Times New Roman" w:hAnsi="Times New Roman" w:cs="Times New Roman"/>
          <w:bCs/>
          <w:iCs/>
          <w:spacing w:val="2"/>
          <w:lang w:val="en-US" w:eastAsia="ru-RU"/>
        </w:rPr>
        <w:t>(</w:t>
      </w:r>
      <w:r w:rsidRPr="001A2489">
        <w:rPr>
          <w:rFonts w:ascii="Times New Roman" w:eastAsia="Times New Roman" w:hAnsi="Times New Roman" w:cs="Times New Roman"/>
          <w:bCs/>
          <w:iCs/>
          <w:spacing w:val="2"/>
          <w:lang w:val="en-US" w:eastAsia="ru-RU"/>
        </w:rPr>
        <w:t>Appendix</w:t>
      </w:r>
      <w:r w:rsidR="00931F49" w:rsidRPr="001A2489">
        <w:rPr>
          <w:rFonts w:ascii="Times New Roman" w:eastAsia="Times New Roman" w:hAnsi="Times New Roman" w:cs="Times New Roman"/>
          <w:bCs/>
          <w:iCs/>
          <w:spacing w:val="2"/>
          <w:lang w:val="en-US" w:eastAsia="ru-RU"/>
        </w:rPr>
        <w:t xml:space="preserve"> 1).</w:t>
      </w:r>
    </w:p>
    <w:p w:rsidR="00F624DA" w:rsidRPr="001A2489" w:rsidRDefault="00F624DA" w:rsidP="001368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991867" w:rsidRPr="001A2489" w:rsidRDefault="00991867" w:rsidP="001368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4C7F48" w:rsidRPr="004C7F48" w:rsidRDefault="004C7F48" w:rsidP="004C7F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C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Chairperson </w:t>
      </w:r>
    </w:p>
    <w:p w:rsidR="004C7F48" w:rsidRPr="004C7F48" w:rsidRDefault="004C7F48" w:rsidP="004C7F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C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of the Personnel and Remuneration Committee</w:t>
      </w:r>
      <w:r w:rsidRPr="004C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ab/>
      </w:r>
      <w:r w:rsidRPr="004C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ab/>
      </w:r>
      <w:r w:rsidRPr="004C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ab/>
        <w:t xml:space="preserve">          O.V. </w:t>
      </w:r>
      <w:proofErr w:type="spellStart"/>
      <w:r w:rsidRPr="004C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Shatokhina</w:t>
      </w:r>
      <w:proofErr w:type="spellEnd"/>
    </w:p>
    <w:p w:rsidR="004C7F48" w:rsidRPr="004C7F48" w:rsidRDefault="004C7F48" w:rsidP="004C7F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4C7F48" w:rsidRPr="004C7F48" w:rsidRDefault="004C7F48" w:rsidP="004C7F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4C7F48" w:rsidRPr="004C7F48" w:rsidRDefault="004C7F48" w:rsidP="004C7F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4C7F48" w:rsidRPr="004C7F48" w:rsidRDefault="004C7F48" w:rsidP="004C7F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C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Secretary</w:t>
      </w:r>
    </w:p>
    <w:p w:rsidR="00F85EEB" w:rsidRPr="004C7F48" w:rsidRDefault="004C7F48" w:rsidP="004C7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C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of the Personnel and Remuneration Committee</w:t>
      </w:r>
      <w:r w:rsidRPr="004C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ab/>
      </w:r>
      <w:r w:rsidRPr="004C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ab/>
      </w:r>
      <w:r w:rsidRPr="004C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ab/>
        <w:t xml:space="preserve">          S.V. </w:t>
      </w:r>
      <w:proofErr w:type="spellStart"/>
      <w:r w:rsidRPr="004C7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Lapinskaya</w:t>
      </w:r>
      <w:proofErr w:type="spellEnd"/>
    </w:p>
    <w:sectPr w:rsidR="00F85EEB" w:rsidRPr="004C7F48" w:rsidSect="00991867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altName w:val="Arial"/>
    <w:panose1 w:val="00000000000000000000"/>
    <w:charset w:val="00"/>
    <w:family w:val="swiss"/>
    <w:notTrueType/>
    <w:pitch w:val="variable"/>
    <w:sig w:usb0="00000001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F47A7"/>
    <w:multiLevelType w:val="hybridMultilevel"/>
    <w:tmpl w:val="3794715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041C"/>
    <w:multiLevelType w:val="hybridMultilevel"/>
    <w:tmpl w:val="9DF2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704A"/>
    <w:multiLevelType w:val="hybridMultilevel"/>
    <w:tmpl w:val="0F463700"/>
    <w:lvl w:ilvl="0" w:tplc="5A9EF7C0">
      <w:start w:val="1"/>
      <w:numFmt w:val="decimal"/>
      <w:lvlText w:val="%1."/>
      <w:lvlJc w:val="left"/>
      <w:pPr>
        <w:ind w:left="1392" w:hanging="8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23480"/>
    <w:multiLevelType w:val="hybridMultilevel"/>
    <w:tmpl w:val="9F5C1A1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>
      <w:start w:val="1"/>
      <w:numFmt w:val="lowerLetter"/>
      <w:lvlText w:val="%2."/>
      <w:lvlJc w:val="left"/>
      <w:pPr>
        <w:ind w:left="7743" w:hanging="360"/>
      </w:pPr>
    </w:lvl>
    <w:lvl w:ilvl="2" w:tplc="0419001B">
      <w:start w:val="1"/>
      <w:numFmt w:val="lowerRoman"/>
      <w:lvlText w:val="%3."/>
      <w:lvlJc w:val="right"/>
      <w:pPr>
        <w:ind w:left="8463" w:hanging="180"/>
      </w:pPr>
    </w:lvl>
    <w:lvl w:ilvl="3" w:tplc="0419000F">
      <w:start w:val="1"/>
      <w:numFmt w:val="decimal"/>
      <w:lvlText w:val="%4."/>
      <w:lvlJc w:val="left"/>
      <w:pPr>
        <w:ind w:left="9183" w:hanging="360"/>
      </w:pPr>
    </w:lvl>
    <w:lvl w:ilvl="4" w:tplc="04190019">
      <w:start w:val="1"/>
      <w:numFmt w:val="lowerLetter"/>
      <w:lvlText w:val="%5."/>
      <w:lvlJc w:val="left"/>
      <w:pPr>
        <w:ind w:left="9903" w:hanging="360"/>
      </w:pPr>
    </w:lvl>
    <w:lvl w:ilvl="5" w:tplc="0419001B">
      <w:start w:val="1"/>
      <w:numFmt w:val="lowerRoman"/>
      <w:lvlText w:val="%6."/>
      <w:lvlJc w:val="right"/>
      <w:pPr>
        <w:ind w:left="10623" w:hanging="180"/>
      </w:pPr>
    </w:lvl>
    <w:lvl w:ilvl="6" w:tplc="0419000F">
      <w:start w:val="1"/>
      <w:numFmt w:val="decimal"/>
      <w:lvlText w:val="%7."/>
      <w:lvlJc w:val="left"/>
      <w:pPr>
        <w:ind w:left="11343" w:hanging="360"/>
      </w:pPr>
    </w:lvl>
    <w:lvl w:ilvl="7" w:tplc="04190019">
      <w:start w:val="1"/>
      <w:numFmt w:val="lowerLetter"/>
      <w:lvlText w:val="%8."/>
      <w:lvlJc w:val="left"/>
      <w:pPr>
        <w:ind w:left="12063" w:hanging="360"/>
      </w:pPr>
    </w:lvl>
    <w:lvl w:ilvl="8" w:tplc="0419001B">
      <w:start w:val="1"/>
      <w:numFmt w:val="lowerRoman"/>
      <w:lvlText w:val="%9."/>
      <w:lvlJc w:val="right"/>
      <w:pPr>
        <w:ind w:left="12783" w:hanging="180"/>
      </w:pPr>
    </w:lvl>
  </w:abstractNum>
  <w:abstractNum w:abstractNumId="4" w15:restartNumberingAfterBreak="0">
    <w:nsid w:val="2CFC0D8B"/>
    <w:multiLevelType w:val="hybridMultilevel"/>
    <w:tmpl w:val="ECE00A4E"/>
    <w:lvl w:ilvl="0" w:tplc="A4840F0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F105D"/>
    <w:multiLevelType w:val="hybridMultilevel"/>
    <w:tmpl w:val="0354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911D9"/>
    <w:multiLevelType w:val="hybridMultilevel"/>
    <w:tmpl w:val="59BCDF5E"/>
    <w:lvl w:ilvl="0" w:tplc="A5AAE234">
      <w:start w:val="1"/>
      <w:numFmt w:val="decimal"/>
      <w:lvlText w:val="%1."/>
      <w:lvlJc w:val="left"/>
      <w:pPr>
        <w:ind w:left="2405" w:hanging="1128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529F544F"/>
    <w:multiLevelType w:val="hybridMultilevel"/>
    <w:tmpl w:val="833C1436"/>
    <w:lvl w:ilvl="0" w:tplc="D2CA27F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D1E68"/>
    <w:multiLevelType w:val="hybridMultilevel"/>
    <w:tmpl w:val="2B06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5303A"/>
    <w:multiLevelType w:val="hybridMultilevel"/>
    <w:tmpl w:val="0C00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6A7"/>
    <w:rsid w:val="00004DA0"/>
    <w:rsid w:val="00007AF6"/>
    <w:rsid w:val="00021D8F"/>
    <w:rsid w:val="000230FC"/>
    <w:rsid w:val="00035BA5"/>
    <w:rsid w:val="00075536"/>
    <w:rsid w:val="0008551B"/>
    <w:rsid w:val="00093455"/>
    <w:rsid w:val="000936A5"/>
    <w:rsid w:val="000A3C39"/>
    <w:rsid w:val="000B2708"/>
    <w:rsid w:val="000D4691"/>
    <w:rsid w:val="000E7F54"/>
    <w:rsid w:val="000F3893"/>
    <w:rsid w:val="000F60E6"/>
    <w:rsid w:val="0010171F"/>
    <w:rsid w:val="00113C53"/>
    <w:rsid w:val="001368E9"/>
    <w:rsid w:val="00147EBD"/>
    <w:rsid w:val="00171735"/>
    <w:rsid w:val="001771AC"/>
    <w:rsid w:val="00183211"/>
    <w:rsid w:val="001A2489"/>
    <w:rsid w:val="001B29FE"/>
    <w:rsid w:val="001B4EEE"/>
    <w:rsid w:val="00212EC6"/>
    <w:rsid w:val="0023549D"/>
    <w:rsid w:val="002521B7"/>
    <w:rsid w:val="0026101F"/>
    <w:rsid w:val="00292C3B"/>
    <w:rsid w:val="00292E58"/>
    <w:rsid w:val="002A1E08"/>
    <w:rsid w:val="002A28AF"/>
    <w:rsid w:val="002B51D0"/>
    <w:rsid w:val="002C425E"/>
    <w:rsid w:val="002D19B9"/>
    <w:rsid w:val="002D4813"/>
    <w:rsid w:val="002E1002"/>
    <w:rsid w:val="002F635B"/>
    <w:rsid w:val="00301194"/>
    <w:rsid w:val="00312036"/>
    <w:rsid w:val="00322295"/>
    <w:rsid w:val="00324D27"/>
    <w:rsid w:val="00357695"/>
    <w:rsid w:val="00383F3B"/>
    <w:rsid w:val="003974B2"/>
    <w:rsid w:val="0039791B"/>
    <w:rsid w:val="003A6007"/>
    <w:rsid w:val="003B64AE"/>
    <w:rsid w:val="003B7C34"/>
    <w:rsid w:val="003C11BB"/>
    <w:rsid w:val="003C207A"/>
    <w:rsid w:val="003C4978"/>
    <w:rsid w:val="0040108A"/>
    <w:rsid w:val="00422462"/>
    <w:rsid w:val="0042711F"/>
    <w:rsid w:val="004645B7"/>
    <w:rsid w:val="004676C1"/>
    <w:rsid w:val="004741AA"/>
    <w:rsid w:val="004804A0"/>
    <w:rsid w:val="0048487E"/>
    <w:rsid w:val="00485093"/>
    <w:rsid w:val="004A1D79"/>
    <w:rsid w:val="004A5383"/>
    <w:rsid w:val="004C7F48"/>
    <w:rsid w:val="004D7AB2"/>
    <w:rsid w:val="004E5377"/>
    <w:rsid w:val="005150A0"/>
    <w:rsid w:val="00566208"/>
    <w:rsid w:val="005934FF"/>
    <w:rsid w:val="00594350"/>
    <w:rsid w:val="005B1E9A"/>
    <w:rsid w:val="005B5132"/>
    <w:rsid w:val="005D200D"/>
    <w:rsid w:val="005D5912"/>
    <w:rsid w:val="0063609E"/>
    <w:rsid w:val="006609F5"/>
    <w:rsid w:val="00672A3A"/>
    <w:rsid w:val="00675658"/>
    <w:rsid w:val="006D6893"/>
    <w:rsid w:val="006E6E80"/>
    <w:rsid w:val="006F2B8A"/>
    <w:rsid w:val="00710301"/>
    <w:rsid w:val="00757A95"/>
    <w:rsid w:val="007B3A97"/>
    <w:rsid w:val="007B6E7C"/>
    <w:rsid w:val="007C22CF"/>
    <w:rsid w:val="007C3C1E"/>
    <w:rsid w:val="007F21DD"/>
    <w:rsid w:val="007F30FE"/>
    <w:rsid w:val="007F7BF6"/>
    <w:rsid w:val="00825520"/>
    <w:rsid w:val="00826CE7"/>
    <w:rsid w:val="008335D2"/>
    <w:rsid w:val="00834F62"/>
    <w:rsid w:val="0085595B"/>
    <w:rsid w:val="008635C7"/>
    <w:rsid w:val="00864A93"/>
    <w:rsid w:val="00864F3A"/>
    <w:rsid w:val="00881784"/>
    <w:rsid w:val="00890737"/>
    <w:rsid w:val="00897027"/>
    <w:rsid w:val="00897C26"/>
    <w:rsid w:val="008A0E3E"/>
    <w:rsid w:val="008B7327"/>
    <w:rsid w:val="008C114B"/>
    <w:rsid w:val="008C520F"/>
    <w:rsid w:val="008E1B20"/>
    <w:rsid w:val="008F2680"/>
    <w:rsid w:val="008F63F1"/>
    <w:rsid w:val="00913723"/>
    <w:rsid w:val="00931B4B"/>
    <w:rsid w:val="00931F49"/>
    <w:rsid w:val="009355BE"/>
    <w:rsid w:val="0097279A"/>
    <w:rsid w:val="00991867"/>
    <w:rsid w:val="00991D97"/>
    <w:rsid w:val="009A6F7D"/>
    <w:rsid w:val="009D3B0A"/>
    <w:rsid w:val="009E3898"/>
    <w:rsid w:val="009E792F"/>
    <w:rsid w:val="009F46A4"/>
    <w:rsid w:val="00A05897"/>
    <w:rsid w:val="00A34E16"/>
    <w:rsid w:val="00A375C8"/>
    <w:rsid w:val="00A43380"/>
    <w:rsid w:val="00A505B4"/>
    <w:rsid w:val="00A54D88"/>
    <w:rsid w:val="00AE3D36"/>
    <w:rsid w:val="00B1017D"/>
    <w:rsid w:val="00B114E5"/>
    <w:rsid w:val="00B13038"/>
    <w:rsid w:val="00B459D2"/>
    <w:rsid w:val="00B507DA"/>
    <w:rsid w:val="00BA7B3C"/>
    <w:rsid w:val="00BB16B8"/>
    <w:rsid w:val="00C02CE0"/>
    <w:rsid w:val="00C060D6"/>
    <w:rsid w:val="00C12173"/>
    <w:rsid w:val="00C24522"/>
    <w:rsid w:val="00C3136E"/>
    <w:rsid w:val="00C3461C"/>
    <w:rsid w:val="00C40B73"/>
    <w:rsid w:val="00C6341A"/>
    <w:rsid w:val="00C6534D"/>
    <w:rsid w:val="00C706A7"/>
    <w:rsid w:val="00C72B43"/>
    <w:rsid w:val="00C90FE0"/>
    <w:rsid w:val="00CA67CC"/>
    <w:rsid w:val="00CC4674"/>
    <w:rsid w:val="00CC5D35"/>
    <w:rsid w:val="00CD1B71"/>
    <w:rsid w:val="00CF6B39"/>
    <w:rsid w:val="00D1401A"/>
    <w:rsid w:val="00D8401A"/>
    <w:rsid w:val="00D91B87"/>
    <w:rsid w:val="00DC5A38"/>
    <w:rsid w:val="00DC6068"/>
    <w:rsid w:val="00DD589D"/>
    <w:rsid w:val="00DE59BF"/>
    <w:rsid w:val="00E04026"/>
    <w:rsid w:val="00E272EE"/>
    <w:rsid w:val="00E32635"/>
    <w:rsid w:val="00E53508"/>
    <w:rsid w:val="00E70D3C"/>
    <w:rsid w:val="00E76C5B"/>
    <w:rsid w:val="00E93356"/>
    <w:rsid w:val="00EC1712"/>
    <w:rsid w:val="00EC1EE6"/>
    <w:rsid w:val="00EC5B82"/>
    <w:rsid w:val="00EE08FC"/>
    <w:rsid w:val="00EE3264"/>
    <w:rsid w:val="00EE5F65"/>
    <w:rsid w:val="00EF4728"/>
    <w:rsid w:val="00F00B7D"/>
    <w:rsid w:val="00F14FAA"/>
    <w:rsid w:val="00F410AB"/>
    <w:rsid w:val="00F51A10"/>
    <w:rsid w:val="00F56F32"/>
    <w:rsid w:val="00F624DA"/>
    <w:rsid w:val="00F70ED7"/>
    <w:rsid w:val="00F85EEB"/>
    <w:rsid w:val="00FA6160"/>
    <w:rsid w:val="00FA63C7"/>
    <w:rsid w:val="00FB7A8E"/>
    <w:rsid w:val="00FC0FB0"/>
    <w:rsid w:val="00FC7484"/>
    <w:rsid w:val="00FD5A9C"/>
    <w:rsid w:val="00FD5BA5"/>
    <w:rsid w:val="00FD635F"/>
    <w:rsid w:val="00F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534BC-E7E9-43EB-A9D8-BAAA6F49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E535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9CDAF-177F-4C4D-9D19-62BF05FC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2919</Characters>
  <Application>Microsoft Office Word</Application>
  <DocSecurity>0</DocSecurity>
  <Lines>104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Oleg</cp:lastModifiedBy>
  <cp:revision>17</cp:revision>
  <cp:lastPrinted>2017-12-15T08:14:00Z</cp:lastPrinted>
  <dcterms:created xsi:type="dcterms:W3CDTF">2018-03-22T12:21:00Z</dcterms:created>
  <dcterms:modified xsi:type="dcterms:W3CDTF">2018-03-22T12:44:00Z</dcterms:modified>
</cp:coreProperties>
</file>