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61"/>
      </w:tblGrid>
      <w:tr w:rsidR="00A06E5F" w:rsidTr="00750367">
        <w:trPr>
          <w:trHeight w:val="1275"/>
        </w:trPr>
        <w:tc>
          <w:tcPr>
            <w:tcW w:w="4786" w:type="dxa"/>
          </w:tcPr>
          <w:p w:rsidR="00A06E5F" w:rsidRPr="00F41C1D" w:rsidRDefault="001F6A02" w:rsidP="001F6A02">
            <w:pPr>
              <w:ind w:left="-142"/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0294F1" wp14:editId="311E0BDB">
                  <wp:extent cx="1714500" cy="78105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78" t="23410" r="4517" b="23255"/>
                          <a:stretch/>
                        </pic:blipFill>
                        <pic:spPr bwMode="auto">
                          <a:xfrm>
                            <a:off x="0" y="0"/>
                            <a:ext cx="1714500" cy="78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961" w:type="dxa"/>
          </w:tcPr>
          <w:p w:rsidR="00750367" w:rsidRDefault="00750367" w:rsidP="0075036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Россети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750367" w:rsidRPr="005E26DC" w:rsidRDefault="00750367" w:rsidP="00750367">
            <w:pPr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750367" w:rsidRPr="00F41C1D" w:rsidRDefault="00750367" w:rsidP="0075036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gramStart"/>
            <w:r>
              <w:rPr>
                <w:rFonts w:ascii="PF Din Text Cond Pro Light" w:hAnsi="PF Din Text Cond Pro Light"/>
                <w:sz w:val="18"/>
                <w:szCs w:val="18"/>
              </w:rPr>
              <w:t>Россети  Центр</w:t>
            </w:r>
            <w:proofErr w:type="gramEnd"/>
            <w:r>
              <w:rPr>
                <w:rFonts w:ascii="PF Din Text Cond Pro Light" w:hAnsi="PF Din Text Cond Pro Light"/>
                <w:sz w:val="18"/>
                <w:szCs w:val="18"/>
              </w:rPr>
              <w:t>» - «Курскэнерго»</w:t>
            </w:r>
          </w:p>
          <w:p w:rsidR="00A06E5F" w:rsidRDefault="00A06E5F" w:rsidP="00E8202B">
            <w:pPr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1C5727" w:rsidRPr="001C5727" w:rsidRDefault="001C5727" w:rsidP="001C5727">
      <w:pPr>
        <w:rPr>
          <w:rFonts w:ascii="Calibri" w:eastAsia="Calibri" w:hAnsi="Calibri" w:cs="Times New Roman"/>
        </w:rPr>
      </w:pPr>
    </w:p>
    <w:tbl>
      <w:tblPr>
        <w:tblStyle w:val="a4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C5727" w:rsidRPr="001C5727" w:rsidTr="001C28AD">
        <w:tc>
          <w:tcPr>
            <w:tcW w:w="4678" w:type="dxa"/>
          </w:tcPr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Первый заместитель директора – 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главный инженер филиала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ПАО «Россети Центр» - «Курскэнерго»</w:t>
            </w:r>
          </w:p>
          <w:p w:rsidR="001C5727" w:rsidRPr="001C5727" w:rsidRDefault="001C5727" w:rsidP="001C5727">
            <w:pPr>
              <w:spacing w:before="24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___________________В.И. Истомин</w:t>
            </w:r>
          </w:p>
          <w:p w:rsidR="001C5727" w:rsidRPr="001C5727" w:rsidRDefault="001C5727" w:rsidP="00514B72">
            <w:pPr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Pr="005B39D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«_____»   __________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14B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Техническое задание</w:t>
      </w: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:rsidR="001C5727" w:rsidRPr="001C5727" w:rsidRDefault="001C5727" w:rsidP="001C572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на оказание услуг по проведению периодического медицинского осмотра персонала филиала ПАО «Россети Центр» - «Курскэнерго»</w:t>
      </w:r>
    </w:p>
    <w:p w:rsidR="001C5727" w:rsidRPr="001C5727" w:rsidRDefault="001C5727" w:rsidP="001C5727">
      <w:pPr>
        <w:numPr>
          <w:ilvl w:val="0"/>
          <w:numId w:val="1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оказания услуг</w:t>
      </w:r>
    </w:p>
    <w:p w:rsidR="001C5727" w:rsidRPr="001C5727" w:rsidRDefault="001C5727" w:rsidP="001C5727">
      <w:pPr>
        <w:spacing w:after="0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  Закупка производится на основании плана закупок филиала ПАО «Россети Центр» - «Курскэнерго», а так же во </w:t>
      </w:r>
      <w:r w:rsidRPr="001C5727">
        <w:rPr>
          <w:rFonts w:ascii="Times New Roman" w:eastAsia="Calibri" w:hAnsi="Times New Roman" w:cs="Times New Roman"/>
          <w:sz w:val="24"/>
          <w:szCs w:val="24"/>
        </w:rPr>
        <w:t>исполнение Приказа Министерства Здравоохранения  РФ № 29</w:t>
      </w:r>
      <w:r w:rsidR="0051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н от 28.01.2021г. 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«Об утверждении порядка проведения обязательных предварительных и периодических медицинских осмотров работников, предусмотренных стать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ями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21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220 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</w:p>
    <w:p w:rsidR="001C5727" w:rsidRPr="001C5727" w:rsidRDefault="001C5727" w:rsidP="001C5727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1.2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Обязательные периодические медицинские осмотры (обследования) (далее – периодические осмотры) проводятся в целях: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а так же работ, </w:t>
      </w:r>
      <w:r w:rsidRPr="001C5727">
        <w:rPr>
          <w:rFonts w:ascii="Times New Roman" w:eastAsia="Calibri" w:hAnsi="Times New Roman" w:cs="Times New Roman"/>
          <w:bCs/>
          <w:sz w:val="24"/>
          <w:szCs w:val="24"/>
        </w:rPr>
        <w:t>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5) предупреждения несчастных случаев на производстве.</w:t>
      </w:r>
    </w:p>
    <w:p w:rsidR="004A4200" w:rsidRDefault="004A4200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200" w:rsidRDefault="004A4200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200" w:rsidRDefault="004A4200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200" w:rsidRDefault="004A4200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727" w:rsidRPr="001C5727" w:rsidRDefault="001C5727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требования к оказываемым услугам</w:t>
      </w:r>
    </w:p>
    <w:p w:rsidR="001C5727" w:rsidRPr="001C5727" w:rsidRDefault="001C5727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 Наличие у Исполнителя действующей на момент проведения торгово-закупочных процедур лицензии на осуществление медицинской деятельности, включая работы и услуги по проведению периодических медицинских осмотров. 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2.2. Наличие достаточного количества квалифицированного, аттестованного персонала для оказания всего комплекса услуг.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2.3. Оказание услуг по проведению периодического медицинского осмотра работников филиала ПАО «Россети Центр» - «Курскэнерго» осуществляется Исполнителем в соответствие с приказом </w:t>
      </w:r>
      <w:r w:rsidR="00514B72">
        <w:rPr>
          <w:rFonts w:ascii="Times New Roman" w:eastAsia="Calibri" w:hAnsi="Times New Roman" w:cs="Times New Roman"/>
          <w:sz w:val="24"/>
          <w:szCs w:val="24"/>
        </w:rPr>
        <w:t>Министерства Здравоохранения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РФ № 29</w:t>
      </w:r>
      <w:r w:rsidR="0051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5727">
        <w:rPr>
          <w:rFonts w:ascii="Times New Roman" w:eastAsia="Calibri" w:hAnsi="Times New Roman" w:cs="Times New Roman"/>
          <w:sz w:val="24"/>
          <w:szCs w:val="24"/>
        </w:rPr>
        <w:t>н от 28.01.2021г.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2.4. Периодический медосмотр проводится с отрывом от производства работников подлежащих прохождению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периодического медицинского осмотра</w:t>
      </w:r>
      <w:r w:rsidRPr="001C572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2.5. Количество работников, подлежащих периодическому осмотру составляет </w:t>
      </w:r>
      <w:r w:rsidR="00514B72">
        <w:rPr>
          <w:rFonts w:ascii="Times New Roman" w:eastAsia="Calibri" w:hAnsi="Times New Roman" w:cs="Times New Roman"/>
          <w:color w:val="000000"/>
          <w:sz w:val="24"/>
          <w:szCs w:val="24"/>
        </w:rPr>
        <w:t>14</w:t>
      </w:r>
      <w:r w:rsidR="00E94F68">
        <w:rPr>
          <w:rFonts w:ascii="Times New Roman" w:eastAsia="Calibri" w:hAnsi="Times New Roman" w:cs="Times New Roman"/>
          <w:color w:val="000000"/>
          <w:sz w:val="24"/>
          <w:szCs w:val="24"/>
        </w:rPr>
        <w:t>82</w:t>
      </w:r>
      <w:r w:rsidR="00514B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человек.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2.6. Исполнитель в 10-дневный срок с момента получения от Заказчика поименного списка работников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подлежащих периодическому медицинскому осмотру (но не позднее, чем за 14 дней до согласованной с Заказчиком датой начала проведения периодического медицинского осмотра) на основании указанного поименного списка составляет календарный план проведения периодического медицинского осмотра (далее – календарный план). Календарный план согласовывается Исполнителем с Заказчиком (его представителем) и утверждается руководителем Исполнителя.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2.7. Исполнитель не может заменить </w:t>
      </w:r>
      <w:proofErr w:type="spellStart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маммографическое</w:t>
      </w:r>
      <w:proofErr w:type="spellEnd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исследование молочных желез в 2-х проекциях (согласно требованиям Приказа 29н для женщин старше 40 лет) на УЗИ молочных желез. Также не допускается проведение </w:t>
      </w:r>
      <w:proofErr w:type="spellStart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электроимпедансной</w:t>
      </w:r>
      <w:proofErr w:type="spellEnd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маммографии посредством МЭМ (многочастотного </w:t>
      </w:r>
      <w:proofErr w:type="spellStart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электроимпедансного</w:t>
      </w:r>
      <w:proofErr w:type="spellEnd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маммографа) ввиду низкой клинической информативности данного исследования.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2.8. Врачебная комиссия Исполнителя на основании указанных в поименном списке вредных производственных факторов или работ определяет необходимость участия в периодическом медицинском осмотре соответствующих врачей-специалистов, а также виды и объемы необходимых лабораторных и функциональных исследований.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2.9. Врачи-специалисты Исполнителя, входящие во врачебную комиссию должны иметь свидетельство об аккредитации специалиста (ст. 69 Федерального закона от 21.11.2018 г. № 323 «Об основах охраны здоровья»), а также удостоверение о повышении квалификации по программе «</w:t>
      </w:r>
      <w:proofErr w:type="spellStart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профпатология</w:t>
      </w:r>
      <w:proofErr w:type="spellEnd"/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2.10. Оказание медицинских услуг на терри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тории Заказчика осуществляется </w:t>
      </w: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посредством сформированных выездных медицинских бригад Исполнителя, с использованием специализированной мобильной медицинской автотехники. </w:t>
      </w:r>
    </w:p>
    <w:p w:rsidR="005A1B5D" w:rsidRP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2.11. Периодический медицинский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</w:r>
    </w:p>
    <w:p w:rsidR="005A1B5D" w:rsidRDefault="005A1B5D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1B5D">
        <w:rPr>
          <w:rFonts w:ascii="Times New Roman" w:eastAsia="Calibri" w:hAnsi="Times New Roman" w:cs="Times New Roman"/>
          <w:color w:val="000000"/>
          <w:sz w:val="24"/>
          <w:szCs w:val="24"/>
        </w:rPr>
        <w:t>2.12. По окончании прохождения работниками периодического медицинского осмотра Исполнителем оформляется на каждого работника заключение по результатам периодического медосмотра, а также заключительный акт.</w:t>
      </w:r>
    </w:p>
    <w:p w:rsidR="001C5727" w:rsidRPr="001C5727" w:rsidRDefault="001C5727" w:rsidP="005A1B5D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C5727" w:rsidRPr="001C5727" w:rsidRDefault="001C5727" w:rsidP="001C5727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3.1. Работникам Исполнительного аппарата, Курского РЭС, ЦУС ДС (всего </w:t>
      </w:r>
      <w:r w:rsidR="00351CE7">
        <w:rPr>
          <w:rFonts w:ascii="Times New Roman" w:eastAsia="Calibri" w:hAnsi="Times New Roman" w:cs="Times New Roman"/>
          <w:sz w:val="24"/>
          <w:szCs w:val="24"/>
        </w:rPr>
        <w:t>329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человека, в том числе </w:t>
      </w:r>
      <w:r w:rsidR="00BD637E">
        <w:rPr>
          <w:rFonts w:ascii="Times New Roman" w:eastAsia="Calibri" w:hAnsi="Times New Roman" w:cs="Times New Roman"/>
          <w:sz w:val="24"/>
          <w:szCs w:val="24"/>
        </w:rPr>
        <w:t>24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женщин) - г. Курск, по местонахождению Исполнителя;</w:t>
      </w:r>
    </w:p>
    <w:p w:rsidR="001C5727" w:rsidRPr="001C5727" w:rsidRDefault="001C5727" w:rsidP="001C5727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3.2. Работникам структурных подразделений в районах области (всего </w:t>
      </w:r>
      <w:r w:rsidR="00514B72">
        <w:rPr>
          <w:rFonts w:ascii="Times New Roman" w:eastAsia="Calibri" w:hAnsi="Times New Roman" w:cs="Times New Roman"/>
          <w:sz w:val="24"/>
          <w:szCs w:val="24"/>
        </w:rPr>
        <w:t>11</w:t>
      </w:r>
      <w:r w:rsidR="00E94F68">
        <w:rPr>
          <w:rFonts w:ascii="Times New Roman" w:eastAsia="Calibri" w:hAnsi="Times New Roman" w:cs="Times New Roman"/>
          <w:sz w:val="24"/>
          <w:szCs w:val="24"/>
        </w:rPr>
        <w:t>53</w:t>
      </w:r>
      <w:r w:rsidR="0051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человек, в том числе </w:t>
      </w:r>
      <w:r w:rsidR="00BD637E">
        <w:rPr>
          <w:rFonts w:ascii="Times New Roman" w:eastAsia="Calibri" w:hAnsi="Times New Roman" w:cs="Times New Roman"/>
          <w:sz w:val="24"/>
          <w:szCs w:val="24"/>
        </w:rPr>
        <w:t>5</w:t>
      </w:r>
      <w:r w:rsidR="00E94F68">
        <w:rPr>
          <w:rFonts w:ascii="Times New Roman" w:eastAsia="Calibri" w:hAnsi="Times New Roman" w:cs="Times New Roman"/>
          <w:sz w:val="24"/>
          <w:szCs w:val="24"/>
        </w:rPr>
        <w:t>4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женщин) - по месту нахождения структурных подразделений, согласно Приложения №1.</w:t>
      </w:r>
    </w:p>
    <w:p w:rsidR="001C5727" w:rsidRPr="001C5727" w:rsidRDefault="001C5727" w:rsidP="001C5727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Всего: </w:t>
      </w:r>
      <w:r w:rsidR="00514B72">
        <w:rPr>
          <w:rFonts w:ascii="Times New Roman" w:eastAsia="Calibri" w:hAnsi="Times New Roman" w:cs="Times New Roman"/>
          <w:sz w:val="24"/>
          <w:szCs w:val="24"/>
        </w:rPr>
        <w:t>14</w:t>
      </w:r>
      <w:r w:rsidR="00E94F68">
        <w:rPr>
          <w:rFonts w:ascii="Times New Roman" w:eastAsia="Calibri" w:hAnsi="Times New Roman" w:cs="Times New Roman"/>
          <w:sz w:val="24"/>
          <w:szCs w:val="24"/>
        </w:rPr>
        <w:t>82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человек, в том числе 1</w:t>
      </w:r>
      <w:r w:rsidR="00E94F68">
        <w:rPr>
          <w:rFonts w:ascii="Times New Roman" w:eastAsia="Calibri" w:hAnsi="Times New Roman" w:cs="Times New Roman"/>
          <w:sz w:val="24"/>
          <w:szCs w:val="24"/>
        </w:rPr>
        <w:t>404</w:t>
      </w:r>
      <w:r w:rsidR="0051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мужчин, </w:t>
      </w:r>
      <w:r w:rsidR="00E94F68">
        <w:rPr>
          <w:rFonts w:ascii="Times New Roman" w:eastAsia="Calibri" w:hAnsi="Times New Roman" w:cs="Times New Roman"/>
          <w:sz w:val="24"/>
          <w:szCs w:val="24"/>
        </w:rPr>
        <w:t>78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женщина.</w:t>
      </w:r>
    </w:p>
    <w:p w:rsidR="001C5727" w:rsidRPr="001C5727" w:rsidRDefault="0011266F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C5727"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Гарантии Исполнителя</w:t>
      </w:r>
    </w:p>
    <w:p w:rsidR="001C5727" w:rsidRPr="001C5727" w:rsidRDefault="0011266F" w:rsidP="001C572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1C5727" w:rsidRPr="001C5727">
        <w:rPr>
          <w:rFonts w:ascii="Times New Roman" w:eastAsia="Calibri" w:hAnsi="Times New Roman" w:cs="Times New Roman"/>
          <w:sz w:val="24"/>
          <w:szCs w:val="24"/>
        </w:rPr>
        <w:t>.1. Исполнитель гарантирует качество оказываемых услуг в соответствии с действующим законодательством.</w:t>
      </w:r>
    </w:p>
    <w:p w:rsidR="005A3402" w:rsidRPr="00767699" w:rsidRDefault="0011266F" w:rsidP="0076769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1C5727" w:rsidRPr="001C5727">
        <w:rPr>
          <w:rFonts w:ascii="Times New Roman" w:eastAsia="Calibri" w:hAnsi="Times New Roman" w:cs="Times New Roman"/>
          <w:sz w:val="24"/>
          <w:szCs w:val="24"/>
        </w:rPr>
        <w:t>.2. Исполнитель гарантирует оказание услуг в установленные сроки.</w:t>
      </w:r>
    </w:p>
    <w:p w:rsidR="001C5727" w:rsidRPr="001C5727" w:rsidRDefault="0011266F" w:rsidP="001C57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Сроки оказания услуг</w:t>
      </w:r>
    </w:p>
    <w:p w:rsidR="001C5727" w:rsidRPr="001C5727" w:rsidRDefault="0011266F" w:rsidP="001C57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Услуги оказываются согласно графику оказания услуг (Приложение №1). </w:t>
      </w:r>
    </w:p>
    <w:p w:rsidR="001C5727" w:rsidRPr="001C5727" w:rsidRDefault="0011266F" w:rsidP="001C57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sz w:val="24"/>
          <w:szCs w:val="24"/>
          <w:lang w:eastAsia="ru-RU"/>
        </w:rPr>
        <w:t>.2. Начало оказания услуг - с момента заключения договора; окончание оказания услуг – до 30.11.202</w:t>
      </w:r>
      <w:r w:rsidR="00761E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C5727" w:rsidRPr="001C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Заместитель главного инженера-</w:t>
      </w: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начальник УПБ и ПК                                                                        Д.А. Горбачев</w:t>
      </w:r>
    </w:p>
    <w:p w:rsidR="001C5727" w:rsidRPr="001C5727" w:rsidRDefault="001C5727" w:rsidP="001C5727">
      <w:pPr>
        <w:tabs>
          <w:tab w:val="left" w:pos="553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1C5727">
        <w:rPr>
          <w:rFonts w:ascii="Times New Roman" w:eastAsia="Calibri" w:hAnsi="Times New Roman" w:cs="Times New Roman"/>
          <w:sz w:val="16"/>
          <w:szCs w:val="16"/>
        </w:rPr>
        <w:tab/>
      </w:r>
    </w:p>
    <w:p w:rsidR="001C5727" w:rsidRPr="001C5727" w:rsidRDefault="001C5727" w:rsidP="001C5727">
      <w:pPr>
        <w:tabs>
          <w:tab w:val="left" w:pos="553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Default="001C5727" w:rsidP="001C5727">
      <w:pPr>
        <w:rPr>
          <w:rFonts w:ascii="Calibri" w:eastAsia="Calibri" w:hAnsi="Calibri" w:cs="Times New Roman"/>
        </w:rPr>
      </w:pPr>
    </w:p>
    <w:p w:rsidR="00767699" w:rsidRPr="001C5727" w:rsidRDefault="00767699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Default="001C5727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3402" w:rsidRDefault="005A3402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A3402" w:rsidRDefault="005A3402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625" w:rsidRDefault="001C5727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476625" w:rsidRDefault="00476625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625" w:rsidRDefault="00476625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625" w:rsidRDefault="00476625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625" w:rsidRDefault="00476625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76625" w:rsidRDefault="00476625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1C5727">
        <w:rPr>
          <w:rFonts w:ascii="Times New Roman" w:eastAsia="Calibri" w:hAnsi="Times New Roman" w:cs="Times New Roman"/>
          <w:sz w:val="24"/>
          <w:szCs w:val="24"/>
        </w:rPr>
        <w:t>Приложение №1</w:t>
      </w:r>
    </w:p>
    <w:p w:rsidR="001C5727" w:rsidRPr="001C5727" w:rsidRDefault="001C5727" w:rsidP="005A340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  <w:t xml:space="preserve">     к Техническому заданию</w:t>
      </w:r>
    </w:p>
    <w:p w:rsidR="001C5727" w:rsidRPr="001C5727" w:rsidRDefault="001C5727" w:rsidP="001C572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График оказания услуг</w:t>
      </w:r>
    </w:p>
    <w:p w:rsidR="001C5727" w:rsidRPr="001C5727" w:rsidRDefault="001C5727" w:rsidP="001C572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0384" w:type="dxa"/>
        <w:tblInd w:w="-714" w:type="dxa"/>
        <w:tblLook w:val="04A0" w:firstRow="1" w:lastRow="0" w:firstColumn="1" w:lastColumn="0" w:noHBand="0" w:noVBand="1"/>
      </w:tblPr>
      <w:tblGrid>
        <w:gridCol w:w="668"/>
        <w:gridCol w:w="2800"/>
        <w:gridCol w:w="2788"/>
        <w:gridCol w:w="989"/>
        <w:gridCol w:w="74"/>
        <w:gridCol w:w="1220"/>
        <w:gridCol w:w="1824"/>
        <w:gridCol w:w="21"/>
      </w:tblGrid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800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278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местонахождение структурного подразделения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</w:rPr>
              <w:t>Количество, чел.</w:t>
            </w:r>
          </w:p>
        </w:tc>
        <w:tc>
          <w:tcPr>
            <w:tcW w:w="1824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C5727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C5727">
              <w:rPr>
                <w:rFonts w:ascii="Times New Roman" w:eastAsia="Calibri" w:hAnsi="Times New Roman" w:cs="Times New Roman"/>
              </w:rPr>
              <w:t>периодического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</w:rPr>
              <w:t>медосмотра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Центральный участок</w:t>
            </w:r>
          </w:p>
        </w:tc>
      </w:tr>
      <w:tr w:rsidR="001C5727" w:rsidRPr="001C5727" w:rsidTr="00C0516F">
        <w:trPr>
          <w:gridAfter w:val="1"/>
          <w:wAfter w:w="21" w:type="dxa"/>
          <w:trHeight w:val="1065"/>
        </w:trPr>
        <w:tc>
          <w:tcPr>
            <w:tcW w:w="668" w:type="dxa"/>
            <w:vMerge w:val="restart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 РЭС                                 (+ Поныри)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306020, Курская область, Золотухинский р-н, п. Золотухино, Электрическая, д. 5</w:t>
            </w:r>
          </w:p>
        </w:tc>
        <w:tc>
          <w:tcPr>
            <w:tcW w:w="989" w:type="dxa"/>
            <w:vMerge w:val="restart"/>
            <w:vAlign w:val="center"/>
          </w:tcPr>
          <w:p w:rsidR="001C5727" w:rsidRPr="001C5727" w:rsidRDefault="00580B20" w:rsidP="005F28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1C5727"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</w:t>
            </w:r>
            <w:r w:rsidR="005F2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1C5727"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женщин</w:t>
            </w:r>
          </w:p>
        </w:tc>
        <w:tc>
          <w:tcPr>
            <w:tcW w:w="1294" w:type="dxa"/>
            <w:gridSpan w:val="2"/>
            <w:vAlign w:val="center"/>
          </w:tcPr>
          <w:p w:rsidR="001C5727" w:rsidRPr="00F658DC" w:rsidRDefault="00F658DC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8D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r w:rsidR="001C5727" w:rsidRPr="00F65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1C5727" w:rsidRPr="00F658DC">
              <w:rPr>
                <w:rFonts w:ascii="Times New Roman" w:eastAsia="Times New Roman" w:hAnsi="Times New Roman" w:cs="Times New Roman"/>
                <w:lang w:eastAsia="ru-RU"/>
              </w:rPr>
              <w:t>в том числе 3 женщины</w:t>
            </w:r>
          </w:p>
        </w:tc>
        <w:tc>
          <w:tcPr>
            <w:tcW w:w="1824" w:type="dxa"/>
            <w:vMerge w:val="restart"/>
            <w:vAlign w:val="center"/>
          </w:tcPr>
          <w:p w:rsidR="001C5727" w:rsidRPr="001C5727" w:rsidRDefault="001C5727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 w:rsidR="00C051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  <w:trHeight w:val="1065"/>
        </w:trPr>
        <w:tc>
          <w:tcPr>
            <w:tcW w:w="668" w:type="dxa"/>
            <w:vMerge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306000, Курская область, Поныровский р-н, п. Поныри, Сапунова, д. 7)</w:t>
            </w:r>
          </w:p>
        </w:tc>
        <w:tc>
          <w:tcPr>
            <w:tcW w:w="989" w:type="dxa"/>
            <w:vMerge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1C5727" w:rsidRPr="00F658DC" w:rsidRDefault="00F658DC" w:rsidP="00F658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8D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4" w:type="dxa"/>
            <w:vMerge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РЭС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305527, г. Курск, ул. Энгельса 171 В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7571E2" w:rsidP="007571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228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 РЭС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305030, Курская область, Медвенский р-н, п. Медвенка, К. Маркса, д. 60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7571E2" w:rsidP="007571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Западный участок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Льговский РЭС 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307752 Курская обл. Льговский р-н г. Льгов ул. Красная, д. 104 а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8D3FB5" w:rsidP="007229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7229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Рыльский р-н, г. Рыльск ул. Ворошилова, д. 49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8D3FB5" w:rsidP="008D3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330450 Курская обл. Глушковский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Глушково, ул. Набережная, д. 275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8D3FB5" w:rsidP="008D3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  <w:cantSplit/>
          <w:trHeight w:val="1200"/>
        </w:trPr>
        <w:tc>
          <w:tcPr>
            <w:tcW w:w="668" w:type="dxa"/>
            <w:vMerge w:val="restart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Курчатовский РЭС              (+ Прямицыно)</w:t>
            </w:r>
          </w:p>
        </w:tc>
        <w:tc>
          <w:tcPr>
            <w:tcW w:w="27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D37000" w:rsidRDefault="001C5727" w:rsidP="001C5727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7000">
              <w:rPr>
                <w:rFonts w:ascii="Times New Roman" w:eastAsia="Times New Roman" w:hAnsi="Times New Roman" w:cs="Times New Roman"/>
                <w:lang w:eastAsia="ru-RU"/>
              </w:rPr>
              <w:t>307220 Курская обл. Курчатовский р-н., п. Иванино, ул. Механизаторов, д. 1а;</w:t>
            </w:r>
          </w:p>
          <w:p w:rsidR="001C5727" w:rsidRPr="00D37000" w:rsidRDefault="001C5727" w:rsidP="001C5727">
            <w:pPr>
              <w:keepLines/>
              <w:jc w:val="center"/>
              <w:rPr>
                <w:rFonts w:ascii="Calibri" w:eastAsia="Calibri" w:hAnsi="Calibri" w:cs="Calibri"/>
              </w:rPr>
            </w:pPr>
            <w:r w:rsidRPr="00D370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370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307200, Курская область, Октябрьский р-н, п. Прямицыно, Новогодняя д. 2)</w:t>
            </w:r>
          </w:p>
          <w:p w:rsidR="001C5727" w:rsidRPr="00D37000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3" w:type="dxa"/>
            <w:gridSpan w:val="2"/>
            <w:vMerge w:val="restart"/>
            <w:vAlign w:val="center"/>
          </w:tcPr>
          <w:p w:rsidR="001C5727" w:rsidRPr="00D37000" w:rsidRDefault="00B5770C" w:rsidP="00D37000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1C5727"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D37000"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C5727"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</w:t>
            </w:r>
          </w:p>
        </w:tc>
        <w:tc>
          <w:tcPr>
            <w:tcW w:w="1220" w:type="dxa"/>
            <w:vAlign w:val="center"/>
          </w:tcPr>
          <w:p w:rsidR="001C5727" w:rsidRPr="00D37000" w:rsidRDefault="001C5727" w:rsidP="00B5770C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5770C"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B5770C"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</w:t>
            </w:r>
          </w:p>
        </w:tc>
        <w:tc>
          <w:tcPr>
            <w:tcW w:w="1824" w:type="dxa"/>
            <w:vMerge w:val="restart"/>
            <w:vAlign w:val="center"/>
          </w:tcPr>
          <w:p w:rsidR="001C5727" w:rsidRPr="001C5727" w:rsidRDefault="00C0516F" w:rsidP="001C5727">
            <w:pPr>
              <w:keepLines/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  <w:cantSplit/>
          <w:trHeight w:val="1200"/>
        </w:trPr>
        <w:tc>
          <w:tcPr>
            <w:tcW w:w="668" w:type="dxa"/>
            <w:vMerge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D37000" w:rsidRDefault="001C5727" w:rsidP="001C5727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1C5727" w:rsidRPr="00D37000" w:rsidRDefault="001C5727" w:rsidP="001C5727">
            <w:pPr>
              <w:keepLine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:rsidR="001C5727" w:rsidRPr="00D37000" w:rsidRDefault="00B5770C" w:rsidP="00B5770C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00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4" w:type="dxa"/>
            <w:vMerge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5727" w:rsidRPr="001C5727" w:rsidTr="00C0516F">
        <w:trPr>
          <w:gridAfter w:val="1"/>
          <w:wAfter w:w="21" w:type="dxa"/>
          <w:cantSplit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307620 Курская обл. Конышевский р-н, п. Конышевка ул. Татаринова, д. 54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667134" w:rsidP="006671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женщина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C0516F">
        <w:trPr>
          <w:gridAfter w:val="1"/>
          <w:wAfter w:w="21" w:type="dxa"/>
          <w:cantSplit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 РЭС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307410 Курская обл. Кореневский р-н, п. Коренево, ул. Красноармейская, д. 62 а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667134" w:rsidP="006671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Южный участок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 РЭС</w:t>
            </w:r>
          </w:p>
        </w:tc>
        <w:tc>
          <w:tcPr>
            <w:tcW w:w="27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306230 Курская область, 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Обоянь Обоянский р-н.         ул. Кривошеина, д. 2</w:t>
            </w: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A302A2" w:rsidP="00A302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C5727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  <w:vAlign w:val="center"/>
          </w:tcPr>
          <w:p w:rsidR="001C5727" w:rsidRPr="001C5727" w:rsidRDefault="00C0516F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Большесолдатский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307830 Курская обл. Большесолдатский р-н,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Большесолдатское   ул. Советская, д. 195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A302A2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BB33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00" w:type="dxa"/>
            <w:vAlign w:val="center"/>
          </w:tcPr>
          <w:p w:rsidR="00C0516F" w:rsidRPr="00296916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>Солнцевский РЭС</w:t>
            </w:r>
          </w:p>
        </w:tc>
        <w:tc>
          <w:tcPr>
            <w:tcW w:w="2788" w:type="dxa"/>
            <w:vAlign w:val="center"/>
          </w:tcPr>
          <w:p w:rsidR="00C0516F" w:rsidRPr="00296916" w:rsidRDefault="00C0516F" w:rsidP="00C051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916">
              <w:rPr>
                <w:rFonts w:ascii="Times New Roman" w:eastAsia="Times New Roman" w:hAnsi="Times New Roman" w:cs="Times New Roman"/>
                <w:lang w:eastAsia="ru-RU"/>
              </w:rPr>
              <w:t>306120 Курская обл. Солнцевский р-н.,</w:t>
            </w:r>
          </w:p>
          <w:p w:rsidR="00C0516F" w:rsidRPr="00296916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916">
              <w:rPr>
                <w:rFonts w:ascii="Times New Roman" w:eastAsia="Times New Roman" w:hAnsi="Times New Roman" w:cs="Times New Roman"/>
                <w:lang w:eastAsia="ru-RU"/>
              </w:rPr>
              <w:t>с. Никольское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296916" w:rsidRDefault="00296916" w:rsidP="00296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C0516F"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516F"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Pr="00296916" w:rsidRDefault="00C0516F" w:rsidP="00C0516F">
            <w:pPr>
              <w:jc w:val="center"/>
            </w:pPr>
            <w:r w:rsidRPr="0029691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Суджанский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307800 Курская обл. Суджанский р-н, г. Суджа, ул. Луговая, д. 1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081263" w:rsidP="00296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BB33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Беловский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307910 Курская область, Беловский р-н, слобода Белая, ул. Советская, д. 135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296916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BB33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Пристенский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306200 Курская область, Пристенский р-н, п. Пристень ул. Торговая, д. 2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296916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BB33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Восточный участок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Горшеченский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306800 Курская обл. Горшеченский р-н, п. Горшечное, ул. Октябрьская, д. 65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296916" w:rsidP="00296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Касторенский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306707 Курская обл. Касторенский р-н, п. Касторное, р-н, ул. Чайковского, д. 5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296916" w:rsidP="002969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Мантуровский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307000 Курская обл. Мантуровский р-н, п. Мантурово, ул. Маяковского, д. 26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96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306600 Курская обл. Кшенский р-н, п. Кшень, ул. Курская д.2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Тимский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307060 Курская обл. Тимский р-н, с. 1-е Выгорное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Щигровский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306530  Курская обл. г. Щигры, ул. Макарова, д. 19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Черемисиновский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Черемисиновский р-н, п. Черемисиново, ул. 8-е Марта, д. 25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C0516F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B3AB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7B3A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CB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Северный участок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Железногорский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307177 Курская обл.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г. Железногорск,  Автодорога №83, Производственная база №2, здание №1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8630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1</w:t>
            </w:r>
            <w:r w:rsidR="008630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A843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момента заключения </w:t>
            </w:r>
            <w:r w:rsidRPr="00A843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Дмитриевский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307500 Курская обл. г. Дмитриев, ул. Фосфоритная, д. 3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7B3AB7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A843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Хомутовский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307540 Курская обл. Хомутовский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Хомутовка, ул. Советская, д. 29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86301E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A843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Фатежский РЭС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307100 Курская обл. Фатежский р-н, г. Фатеж, ул. Майская, д. 24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C0516F" w:rsidP="007B3A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52, в том числе </w:t>
            </w:r>
            <w:r w:rsidR="007B3A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72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824" w:type="dxa"/>
          </w:tcPr>
          <w:p w:rsidR="00C0516F" w:rsidRDefault="00C0516F" w:rsidP="00C0516F">
            <w:pPr>
              <w:jc w:val="center"/>
            </w:pPr>
            <w:r w:rsidRPr="00A843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1C5727" w:rsidRPr="001C5727" w:rsidTr="00C0516F">
        <w:tc>
          <w:tcPr>
            <w:tcW w:w="668" w:type="dxa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16" w:type="dxa"/>
            <w:gridSpan w:val="7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C0516F" w:rsidRPr="001C5727" w:rsidTr="00AA4A66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ЦУС ДС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305035 г. Курск, ул. Энгельса, д. 4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3D639D" w:rsidP="003D63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0516F"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  <w:vAlign w:val="center"/>
          </w:tcPr>
          <w:p w:rsidR="00C0516F" w:rsidRDefault="00C0516F" w:rsidP="00AA4A66">
            <w:pPr>
              <w:jc w:val="center"/>
            </w:pPr>
            <w:r w:rsidRPr="00E2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C0516F" w:rsidRPr="001C5727" w:rsidTr="00AA4A66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00" w:type="dxa"/>
            <w:vAlign w:val="center"/>
          </w:tcPr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2788" w:type="dxa"/>
            <w:vAlign w:val="center"/>
          </w:tcPr>
          <w:p w:rsidR="00C0516F" w:rsidRPr="001C5727" w:rsidRDefault="00C0516F" w:rsidP="00C0516F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305529 г. Курск, К. Маркса,</w:t>
            </w:r>
          </w:p>
          <w:p w:rsidR="00C0516F" w:rsidRPr="001C5727" w:rsidRDefault="00C0516F" w:rsidP="00C0516F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д. 27;</w:t>
            </w:r>
          </w:p>
          <w:p w:rsidR="00C0516F" w:rsidRPr="001C5727" w:rsidRDefault="00C0516F" w:rsidP="00C0516F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  <w:p w:rsidR="008665C3" w:rsidRDefault="00C0516F" w:rsidP="00C051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 xml:space="preserve">305026 г. Курск, пр-т Ленинского Комсомола, 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д .20</w:t>
            </w:r>
          </w:p>
          <w:p w:rsidR="00C0516F" w:rsidRPr="001C5727" w:rsidRDefault="00C0516F" w:rsidP="00C0516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283" w:type="dxa"/>
            <w:gridSpan w:val="3"/>
            <w:vAlign w:val="center"/>
          </w:tcPr>
          <w:p w:rsidR="00C0516F" w:rsidRPr="001C5727" w:rsidRDefault="008A5427" w:rsidP="00AA4A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AA4A6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женщины</w:t>
            </w:r>
          </w:p>
        </w:tc>
        <w:tc>
          <w:tcPr>
            <w:tcW w:w="1824" w:type="dxa"/>
            <w:vAlign w:val="center"/>
          </w:tcPr>
          <w:p w:rsidR="00C0516F" w:rsidRDefault="00C0516F" w:rsidP="00AA4A66">
            <w:pPr>
              <w:jc w:val="center"/>
            </w:pPr>
            <w:r w:rsidRPr="00E242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30.11.2023</w:t>
            </w:r>
          </w:p>
        </w:tc>
      </w:tr>
      <w:tr w:rsidR="001C5727" w:rsidRPr="001C5727" w:rsidTr="00C0516F">
        <w:trPr>
          <w:gridAfter w:val="1"/>
          <w:wAfter w:w="21" w:type="dxa"/>
        </w:trPr>
        <w:tc>
          <w:tcPr>
            <w:tcW w:w="66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788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  <w:gridSpan w:val="3"/>
            <w:vAlign w:val="center"/>
          </w:tcPr>
          <w:p w:rsidR="001C5727" w:rsidRPr="001C5727" w:rsidRDefault="0058755F" w:rsidP="0058755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1482</w:t>
            </w:r>
            <w:r w:rsidR="001C5727"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  <w:r w:rsidR="00D370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C5727"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женщина</w:t>
            </w:r>
          </w:p>
        </w:tc>
        <w:tc>
          <w:tcPr>
            <w:tcW w:w="1824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C5727" w:rsidRPr="001C5727" w:rsidRDefault="001C5727" w:rsidP="001C57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7D5988" w:rsidRPr="005A1B5D" w:rsidRDefault="007D5988" w:rsidP="00A06E5F">
      <w:pPr>
        <w:spacing w:after="0" w:line="240" w:lineRule="auto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sectPr w:rsidR="007D5988" w:rsidRPr="005A1B5D" w:rsidSect="005A3402">
      <w:pgSz w:w="11906" w:h="16838"/>
      <w:pgMar w:top="709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44"/>
    <w:rsid w:val="0001125D"/>
    <w:rsid w:val="00025022"/>
    <w:rsid w:val="00075F6D"/>
    <w:rsid w:val="00081263"/>
    <w:rsid w:val="00106C8E"/>
    <w:rsid w:val="0011266F"/>
    <w:rsid w:val="001303CB"/>
    <w:rsid w:val="001C5727"/>
    <w:rsid w:val="001F6A02"/>
    <w:rsid w:val="00211137"/>
    <w:rsid w:val="00257121"/>
    <w:rsid w:val="00296916"/>
    <w:rsid w:val="002B0703"/>
    <w:rsid w:val="002F031C"/>
    <w:rsid w:val="00300775"/>
    <w:rsid w:val="00351CE7"/>
    <w:rsid w:val="003D639D"/>
    <w:rsid w:val="00476625"/>
    <w:rsid w:val="004A4200"/>
    <w:rsid w:val="004C2FFB"/>
    <w:rsid w:val="00514B72"/>
    <w:rsid w:val="00574761"/>
    <w:rsid w:val="005764D5"/>
    <w:rsid w:val="00580B20"/>
    <w:rsid w:val="0058755F"/>
    <w:rsid w:val="005A1B5D"/>
    <w:rsid w:val="005A3402"/>
    <w:rsid w:val="005B39D7"/>
    <w:rsid w:val="005F28E1"/>
    <w:rsid w:val="00667134"/>
    <w:rsid w:val="006E2044"/>
    <w:rsid w:val="007229B9"/>
    <w:rsid w:val="00750367"/>
    <w:rsid w:val="007571E2"/>
    <w:rsid w:val="00761E12"/>
    <w:rsid w:val="00765E8C"/>
    <w:rsid w:val="00767699"/>
    <w:rsid w:val="00790670"/>
    <w:rsid w:val="007B3AB7"/>
    <w:rsid w:val="007B7377"/>
    <w:rsid w:val="007D5988"/>
    <w:rsid w:val="007F3DAB"/>
    <w:rsid w:val="0086301E"/>
    <w:rsid w:val="008665C3"/>
    <w:rsid w:val="008A5427"/>
    <w:rsid w:val="008D3FB5"/>
    <w:rsid w:val="008E2066"/>
    <w:rsid w:val="00906433"/>
    <w:rsid w:val="00937213"/>
    <w:rsid w:val="009426AD"/>
    <w:rsid w:val="009715B1"/>
    <w:rsid w:val="009D1C4B"/>
    <w:rsid w:val="00A06E5F"/>
    <w:rsid w:val="00A302A2"/>
    <w:rsid w:val="00A70241"/>
    <w:rsid w:val="00AA4A66"/>
    <w:rsid w:val="00B352A0"/>
    <w:rsid w:val="00B5770C"/>
    <w:rsid w:val="00BD637E"/>
    <w:rsid w:val="00C0516F"/>
    <w:rsid w:val="00C71D95"/>
    <w:rsid w:val="00D37000"/>
    <w:rsid w:val="00D604C3"/>
    <w:rsid w:val="00D76795"/>
    <w:rsid w:val="00D82949"/>
    <w:rsid w:val="00DE6D9E"/>
    <w:rsid w:val="00E8202B"/>
    <w:rsid w:val="00E83629"/>
    <w:rsid w:val="00E94F68"/>
    <w:rsid w:val="00F41C1D"/>
    <w:rsid w:val="00F658DC"/>
    <w:rsid w:val="00F727DF"/>
    <w:rsid w:val="00F9765F"/>
    <w:rsid w:val="00FD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21DA5"/>
  <w15:docId w15:val="{40BE32B7-0E68-46FD-911B-6E6B250A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05CD7-8C21-428F-AD2A-CB511522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1689</Words>
  <Characters>9632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Техническое задание </vt:lpstr>
    </vt:vector>
  </TitlesOfParts>
  <Company/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Крупенникова Юлия Николаевна</cp:lastModifiedBy>
  <cp:revision>42</cp:revision>
  <cp:lastPrinted>2019-07-22T07:47:00Z</cp:lastPrinted>
  <dcterms:created xsi:type="dcterms:W3CDTF">2021-06-17T12:56:00Z</dcterms:created>
  <dcterms:modified xsi:type="dcterms:W3CDTF">2023-06-19T06:15:00Z</dcterms:modified>
</cp:coreProperties>
</file>