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 xml:space="preserve">Первый заместитель директора- </w:t>
      </w:r>
    </w:p>
    <w:p w:rsidR="00EB574A" w:rsidRPr="00EB574A" w:rsidRDefault="00EB574A" w:rsidP="00EB574A">
      <w:pPr>
        <w:spacing w:line="276" w:lineRule="auto"/>
        <w:ind w:right="-1"/>
        <w:jc w:val="right"/>
        <w:rPr>
          <w:rFonts w:ascii="Times New Roman" w:hAnsi="Times New Roman" w:cs="Times New Roman"/>
        </w:rPr>
      </w:pPr>
      <w:r w:rsidRPr="00EB574A">
        <w:rPr>
          <w:rFonts w:ascii="Times New Roman" w:hAnsi="Times New Roman" w:cs="Times New Roman"/>
        </w:rPr>
        <w:t>главный инженер филиала ПАО "</w:t>
      </w:r>
      <w:proofErr w:type="spellStart"/>
      <w:r w:rsidRPr="00EB574A">
        <w:rPr>
          <w:rFonts w:ascii="Times New Roman" w:hAnsi="Times New Roman" w:cs="Times New Roman"/>
        </w:rPr>
        <w:t>Россети</w:t>
      </w:r>
      <w:proofErr w:type="spellEnd"/>
      <w:r w:rsidRPr="00EB574A">
        <w:rPr>
          <w:rFonts w:ascii="Times New Roman" w:hAnsi="Times New Roman" w:cs="Times New Roman"/>
        </w:rPr>
        <w:t xml:space="preserve"> Центр"-"Курскэнерго"</w:t>
      </w:r>
    </w:p>
    <w:p w:rsidR="00EB574A" w:rsidRPr="00EB40C8" w:rsidRDefault="00EB574A" w:rsidP="00EB574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574A">
        <w:rPr>
          <w:rFonts w:ascii="Times New Roman" w:hAnsi="Times New Roman" w:cs="Times New Roman"/>
        </w:rPr>
        <w:tab/>
        <w:t>_______________________ /В.И. Истомин/</w:t>
      </w:r>
    </w:p>
    <w:p w:rsidR="007F2270" w:rsidRPr="007F2270" w:rsidRDefault="00EB574A" w:rsidP="00EB574A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2F2F6C">
        <w:rPr>
          <w:sz w:val="26"/>
          <w:szCs w:val="26"/>
        </w:rPr>
        <w:t>23</w:t>
      </w:r>
      <w:r w:rsidRPr="00EB40C8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="007F2270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7F2270" w:rsidRPr="007F2270">
        <w:rPr>
          <w:b/>
          <w:szCs w:val="28"/>
        </w:rPr>
        <w:t xml:space="preserve">                   </w:t>
      </w:r>
    </w:p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</w:t>
      </w:r>
    </w:p>
    <w:p w:rsidR="007F2270" w:rsidRPr="00AB5BE1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0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техническому обслуживанию бортового оборудования системы мониторинга транспорта </w:t>
      </w:r>
      <w:bookmarkStart w:id="1" w:name="bookmark2"/>
      <w:bookmarkEnd w:id="0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1"/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 целью поддержания в технически исправном состоянии бортового оборудования системы мониторинга </w:t>
      </w:r>
      <w:r w:rsidRPr="000C3E1E">
        <w:t>транспорта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): бортовых терминалов (БТ)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(н</w:t>
      </w:r>
      <w:proofErr w:type="spellStart"/>
      <w:r w:rsidR="007F2270" w:rsidRPr="00F83037">
        <w:t>авигационный</w:t>
      </w:r>
      <w:proofErr w:type="spellEnd"/>
      <w:r w:rsidR="007F2270" w:rsidRPr="00F83037">
        <w:t xml:space="preserve"> терминал </w:t>
      </w:r>
      <w:proofErr w:type="spellStart"/>
      <w:r w:rsidR="007F2270" w:rsidRPr="00F83037">
        <w:t>Тетрон</w:t>
      </w:r>
      <w:proofErr w:type="spellEnd"/>
      <w:r w:rsidR="007F2270" w:rsidRPr="00F83037">
        <w:t xml:space="preserve"> </w:t>
      </w:r>
      <w:proofErr w:type="spellStart"/>
      <w:r w:rsidR="007F2270" w:rsidRPr="00F83037">
        <w:t>Smart</w:t>
      </w:r>
      <w:proofErr w:type="spellEnd"/>
      <w:r w:rsidR="007F2270" w:rsidRPr="00F83037">
        <w:t xml:space="preserve"> (БО)</w:t>
      </w:r>
      <w:r w:rsidR="007F2270">
        <w:rPr>
          <w:lang w:val="ru-RU"/>
        </w:rPr>
        <w:t xml:space="preserve">, </w:t>
      </w:r>
      <w:r w:rsidR="00E703BD" w:rsidRPr="00261D0D">
        <w:rPr>
          <w:color w:val="auto"/>
          <w:lang w:val="ru-RU"/>
        </w:rPr>
        <w:t>CARVIS MD-444 2SD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(БО))</w:t>
      </w:r>
      <w:r w:rsidR="007F2270" w:rsidRPr="00F83037">
        <w:t xml:space="preserve"> </w:t>
      </w:r>
      <w:r w:rsidRPr="000C3E1E">
        <w:t>и периферийного оборудования, установленных на транспортные средства (ТС), требуется техническое обслуживание бортового оборудования.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0C3E1E">
        <w:rPr>
          <w:b/>
        </w:rPr>
        <w:t xml:space="preserve">Требования к техническому обслуживанию бортового оборудования системы мониторинга транспорта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Техническое обслуживание бортового оборудования включает в себя в том числе подключение и настройку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производить техническое обслуживание бортового оборудования на транспортных средствах Заказчика в местах обычного расположения ТС Заказчика по адресам, перечисленным в Приложении № 1.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</w:t>
      </w:r>
      <w:r w:rsidRPr="00EB574A">
        <w:t>представитель</w:t>
      </w:r>
      <w:r w:rsidRPr="00F83037">
        <w:t xml:space="preserve"> Заказчика.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</w:t>
      </w:r>
      <w:r w:rsidRPr="00EB574A">
        <w:t>наименования работ, времени и места их проведения.</w:t>
      </w:r>
      <w:r>
        <w:t xml:space="preserve"> 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lastRenderedPageBreak/>
        <w:t xml:space="preserve">По завершению </w:t>
      </w:r>
      <w:r w:rsidR="004B58C8">
        <w:rPr>
          <w:lang w:val="ru-RU"/>
        </w:rPr>
        <w:t>обслуживания БО</w:t>
      </w:r>
      <w:r w:rsidRPr="00F83037">
        <w:t xml:space="preserve"> на ТС специалист Исполнителя и ответственный представитель Заказчика проводят оперативный контроль качества выполняемых </w:t>
      </w:r>
      <w:r w:rsidR="004B58C8">
        <w:rPr>
          <w:lang w:val="ru-RU"/>
        </w:rPr>
        <w:t>услуг</w:t>
      </w:r>
      <w:r w:rsidRPr="00F83037">
        <w:t xml:space="preserve">, контролируют их соответствие требованиям нормативно-технической документации. При сдаче </w:t>
      </w:r>
      <w:r w:rsidRPr="00EB574A">
        <w:t>выполняемых</w:t>
      </w:r>
      <w:r w:rsidRPr="00F83037">
        <w:t xml:space="preserve"> </w:t>
      </w:r>
      <w:r w:rsidR="004B58C8">
        <w:rPr>
          <w:lang w:val="ru-RU"/>
        </w:rPr>
        <w:t>услуг</w:t>
      </w:r>
      <w:r w:rsidRPr="00F83037">
        <w:t xml:space="preserve"> Исполнитель предоставляет акты </w:t>
      </w:r>
      <w:r w:rsidR="004B58C8">
        <w:rPr>
          <w:lang w:val="ru-RU"/>
        </w:rPr>
        <w:t>оказанных услуг</w:t>
      </w:r>
      <w:r w:rsidRPr="00F83037">
        <w:t xml:space="preserve"> (в двух экземплярах, по одному каждой из сторон), в которых указывается перечень </w:t>
      </w:r>
      <w:r w:rsidR="004B58C8">
        <w:rPr>
          <w:lang w:val="ru-RU"/>
        </w:rPr>
        <w:t>оказанных услуг</w:t>
      </w:r>
      <w:r w:rsidRPr="00F83037">
        <w:t xml:space="preserve"> и использованных материалов, а также предоставляет фотоотчёт о проделанной работе через систему ведения сервисных заявок. Обнаруженные при приемке </w:t>
      </w:r>
      <w:r w:rsidR="004B58C8">
        <w:rPr>
          <w:lang w:val="ru-RU"/>
        </w:rPr>
        <w:t>услуг</w:t>
      </w:r>
      <w:r w:rsidRPr="00F83037"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приемки </w:t>
      </w:r>
      <w:r w:rsidR="004B58C8">
        <w:rPr>
          <w:lang w:val="ru-RU"/>
        </w:rPr>
        <w:t>оказанных услуг,</w:t>
      </w:r>
      <w:r w:rsidRPr="00F83037"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4B58C8">
        <w:rPr>
          <w:lang w:val="ru-RU"/>
        </w:rPr>
        <w:t>оказанные услуги</w:t>
      </w:r>
      <w:r w:rsidRPr="00F83037">
        <w:t>, перечень использованного оборудования и расходных материалов, их стоимость.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Все виды работы Исполнитель может выполнять с использованием как своих материалов, так и материалов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Гарантийный срок на </w:t>
      </w:r>
      <w:r w:rsidR="004B58C8">
        <w:rPr>
          <w:lang w:val="ru-RU"/>
        </w:rPr>
        <w:t>оказанные услуги</w:t>
      </w:r>
      <w:r w:rsidRPr="00F83037">
        <w:t xml:space="preserve"> составляет 6 месяцев с момента подписания обеими сторонами акта приемки </w:t>
      </w:r>
      <w:r w:rsidR="004B58C8">
        <w:rPr>
          <w:lang w:val="ru-RU"/>
        </w:rPr>
        <w:t>оказанных услуг</w:t>
      </w:r>
      <w:r w:rsidRPr="00F83037">
        <w:t>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При выполнении работ должны быть обеспечены требования правил противопожарного режима РФ.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Безопасность </w:t>
      </w:r>
      <w:r w:rsidR="004B58C8">
        <w:rPr>
          <w:lang w:val="ru-RU"/>
        </w:rPr>
        <w:t>оказываемых услуг</w:t>
      </w:r>
      <w:r w:rsidRPr="00F83037">
        <w:t xml:space="preserve"> должна обеспечивать безопасность для жизни, здоровья, имущества и окружающей среды.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Срок оказания услуг: с момента заключения договора </w:t>
      </w:r>
      <w:r w:rsidR="004B58C8">
        <w:rPr>
          <w:lang w:val="ru-RU"/>
        </w:rPr>
        <w:t>п</w:t>
      </w:r>
      <w:r w:rsidRPr="00F83037">
        <w:t xml:space="preserve">о </w:t>
      </w:r>
      <w:r w:rsidR="007E372C">
        <w:rPr>
          <w:lang w:val="ru-RU"/>
        </w:rPr>
        <w:t>15</w:t>
      </w:r>
      <w:r w:rsidRPr="00F83037">
        <w:t>.1</w:t>
      </w:r>
      <w:r w:rsidR="007E372C">
        <w:rPr>
          <w:lang w:val="ru-RU"/>
        </w:rPr>
        <w:t>2</w:t>
      </w:r>
      <w:r w:rsidRPr="00F83037">
        <w:t>.20</w:t>
      </w:r>
      <w:r w:rsidR="00727D3B">
        <w:rPr>
          <w:lang w:val="ru-RU"/>
        </w:rPr>
        <w:t>23</w:t>
      </w:r>
      <w:r w:rsidRPr="00F83037">
        <w:t>г.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F83037">
        <w:rPr>
          <w:b/>
        </w:rPr>
        <w:t>Сроки реакции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 xml:space="preserve"> Таблица 1.</w:t>
      </w:r>
    </w:p>
    <w:tbl>
      <w:tblPr>
        <w:tblStyle w:val="15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Приоритет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Виды заявок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Высокий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Средний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Низкий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Вопросы пользователей и настройка БО. Работоспособность БО в целом не нарушена.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Заказчику необходима информация об эксплуатации БО или консультация.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А так же всё, что не определено в перечне критериев для более высоких приоритетов.</w:t>
            </w:r>
          </w:p>
        </w:tc>
      </w:tr>
    </w:tbl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>Таблица 2.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1C2986" w:rsidRPr="001C2986" w:rsidTr="00D23136">
        <w:trPr>
          <w:jc w:val="center"/>
        </w:trPr>
        <w:tc>
          <w:tcPr>
            <w:tcW w:w="4897" w:type="dxa"/>
            <w:vMerge w:val="restart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Приоритет/ время решения (ч.)*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Merge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44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40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высокий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3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</w:tr>
    </w:tbl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*Все часы, указанные в настоящей таблице, являются рабочими часами. **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структуру ПО или отдельные электронные компоненты системы.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Требования к участникам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настройки оборудования в имеющемся ПО системы мониторинга (</w:t>
      </w:r>
      <w:proofErr w:type="spellStart"/>
      <w:r w:rsidRPr="000C3E1E">
        <w:t>Wialon</w:t>
      </w:r>
      <w:proofErr w:type="spellEnd"/>
      <w:r w:rsidRPr="000C3E1E">
        <w:t xml:space="preserve"> </w:t>
      </w:r>
      <w:proofErr w:type="spellStart"/>
      <w:r w:rsidRPr="000C3E1E">
        <w:t>Local</w:t>
      </w:r>
      <w:proofErr w:type="spellEnd"/>
      <w:r w:rsidRPr="000C3E1E">
        <w:t>) (подтверждается соответствующими с</w:t>
      </w:r>
      <w:r w:rsidR="000E17ED">
        <w:t>ертификатами</w:t>
      </w:r>
      <w:r w:rsidRPr="000C3E1E">
        <w:t>).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проведения работ по установке, сервисному обслуживанию, проверки и ремонту имею</w:t>
      </w:r>
      <w:r w:rsidR="000E17ED">
        <w:t>щегося у Заказчика оборудования</w:t>
      </w:r>
      <w:r w:rsidRPr="000C3E1E">
        <w:t>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 Имеющиеся копии договоров участников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Предоставление демонстрационного доступа к системе ведения сервисных заявок и мобильному приложения. Инструкцию по входу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Стоимость услуг, порядок оплаты и критерий выбора Исполнителя</w:t>
      </w:r>
    </w:p>
    <w:p w:rsidR="00A72576" w:rsidRPr="00EF6D1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Стоимость услуг складывается из стоимости фактически выполненных </w:t>
      </w:r>
      <w:r w:rsidR="000E17ED">
        <w:rPr>
          <w:lang w:val="ru-RU"/>
        </w:rPr>
        <w:t>услуг</w:t>
      </w:r>
      <w:r w:rsidRPr="00F83037">
        <w:t xml:space="preserve"> по техническому обслуживанию бортового оборудования на ТС Заказчика, стоимости фактически </w:t>
      </w:r>
      <w:r w:rsidRPr="00F83037">
        <w:lastRenderedPageBreak/>
        <w:t xml:space="preserve">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</w:t>
      </w:r>
      <w:r w:rsidRPr="00EF6D16">
        <w:t xml:space="preserve">подменного фонда. Предельная стоимость для каждого вида </w:t>
      </w:r>
      <w:r w:rsidR="000E17ED" w:rsidRPr="00EF6D16">
        <w:rPr>
          <w:lang w:val="ru-RU"/>
        </w:rPr>
        <w:t>услуг</w:t>
      </w:r>
      <w:r w:rsidRPr="00EF6D16">
        <w:t>, оборудования и материалов указана в Приложениях № 2 и № 3 соответственно.</w:t>
      </w:r>
    </w:p>
    <w:p w:rsidR="00A72576" w:rsidRPr="00F83037" w:rsidRDefault="00A72576" w:rsidP="00A72576">
      <w:pPr>
        <w:pStyle w:val="13"/>
        <w:spacing w:line="274" w:lineRule="exact"/>
        <w:ind w:right="340" w:firstLine="720"/>
        <w:jc w:val="both"/>
      </w:pPr>
      <w:r w:rsidRPr="00EF6D16">
        <w:t xml:space="preserve">Исполнитель ежемесячно направляет Заказчику Отчет и Акт об оказании услуг за прошедший календарный месяц, а Заказчик в течение </w:t>
      </w:r>
      <w:r w:rsidR="00DF3B86" w:rsidRPr="00EF6D16">
        <w:rPr>
          <w:lang w:val="ru-RU"/>
        </w:rPr>
        <w:t>7</w:t>
      </w:r>
      <w:r w:rsidRPr="00EF6D16">
        <w:t xml:space="preserve"> </w:t>
      </w:r>
      <w:r w:rsidR="009B12F8" w:rsidRPr="00EF6D16">
        <w:rPr>
          <w:lang w:val="ru-RU"/>
        </w:rPr>
        <w:t>рабочих</w:t>
      </w:r>
      <w:r w:rsidRPr="00EF6D16">
        <w:t xml:space="preserve">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Исполнители, участвующие в </w:t>
      </w:r>
      <w:r w:rsidR="007F0DC3">
        <w:rPr>
          <w:lang w:val="ru-RU"/>
        </w:rPr>
        <w:t>торгово-закупочной процедуре</w:t>
      </w:r>
      <w:r w:rsidRPr="00F83037">
        <w:t>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EB574A" w:rsidP="00EB574A">
      <w:pPr>
        <w:pStyle w:val="13"/>
        <w:shd w:val="clear" w:color="auto" w:fill="auto"/>
        <w:tabs>
          <w:tab w:val="left" w:pos="4510"/>
        </w:tabs>
        <w:spacing w:after="0" w:line="274" w:lineRule="exact"/>
        <w:ind w:right="340" w:firstLine="720"/>
        <w:jc w:val="both"/>
      </w:pPr>
      <w:r>
        <w:tab/>
      </w: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3B766A">
          <w:type w:val="continuous"/>
          <w:pgSz w:w="11905" w:h="16837"/>
          <w:pgMar w:top="426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</w:t>
      </w:r>
      <w:proofErr w:type="spellStart"/>
      <w:r>
        <w:rPr>
          <w:lang w:val="ru-RU"/>
        </w:rPr>
        <w:t>СМиТ</w:t>
      </w:r>
      <w:proofErr w:type="spellEnd"/>
      <w:r>
        <w:rPr>
          <w:lang w:val="ru-RU"/>
        </w:rPr>
        <w:t xml:space="preserve">     </w:t>
      </w:r>
      <w:r w:rsidR="00FE6070">
        <w:rPr>
          <w:lang w:val="ru-RU"/>
        </w:rPr>
        <w:t xml:space="preserve">                                      </w:t>
      </w:r>
      <w:r w:rsidR="000C3E1E">
        <w:rPr>
          <w:lang w:val="ru-RU"/>
        </w:rPr>
        <w:t xml:space="preserve">                     </w:t>
      </w:r>
      <w:r w:rsidR="00FE6070">
        <w:rPr>
          <w:lang w:val="ru-RU"/>
        </w:rPr>
        <w:t xml:space="preserve">             </w:t>
      </w:r>
      <w:r w:rsidR="00EB574A">
        <w:rPr>
          <w:lang w:val="ru-RU"/>
        </w:rPr>
        <w:t>Татаренков Ю.С.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3B766A" w:rsidRDefault="003B766A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4107F" w:rsidRDefault="000410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lastRenderedPageBreak/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rPr>
          <w:sz w:val="2"/>
          <w:szCs w:val="2"/>
        </w:rPr>
        <w:sectPr w:rsidR="00FE6070" w:rsidSect="003B766A">
          <w:headerReference w:type="default" r:id="rId8"/>
          <w:type w:val="continuous"/>
          <w:pgSz w:w="11905" w:h="16837"/>
          <w:pgMar w:top="426" w:right="634" w:bottom="1101" w:left="989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670"/>
        <w:tblW w:w="9384" w:type="dxa"/>
        <w:jc w:val="center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EB574A" w:rsidRPr="00C2098D" w:rsidTr="003B766A">
        <w:trPr>
          <w:trHeight w:val="70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</w:rPr>
              <w:t>Адрес РЭС</w:t>
            </w:r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2F2F6C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РЭС</w:t>
            </w:r>
            <w:r w:rsidR="002F2F6C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spellStart"/>
            <w:r w:rsidR="002F2F6C">
              <w:rPr>
                <w:rFonts w:ascii="Times New Roman" w:eastAsia="Times New Roman" w:hAnsi="Times New Roman" w:cs="Times New Roman"/>
                <w:lang w:val="ru-RU"/>
              </w:rPr>
              <w:t>Ворошнево</w:t>
            </w:r>
            <w:proofErr w:type="spellEnd"/>
            <w:r w:rsidR="002F2F6C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Курский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Ворошнево</w:t>
            </w:r>
            <w:proofErr w:type="spellEnd"/>
          </w:p>
        </w:tc>
      </w:tr>
      <w:tr w:rsidR="00EB574A" w:rsidRPr="00C2098D" w:rsidTr="003B766A">
        <w:trPr>
          <w:trHeight w:val="126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2F2F6C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Курский</w:t>
            </w:r>
            <w:r w:rsidR="00EB574A"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BC1F98">
              <w:rPr>
                <w:rFonts w:ascii="Times New Roman" w:hAnsi="Times New Roman" w:cs="Times New Roman"/>
              </w:rPr>
              <w:t>305047, г. Курск, ул.</w:t>
            </w:r>
            <w:r w:rsidR="008813A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F98">
              <w:rPr>
                <w:rFonts w:ascii="Times New Roman" w:hAnsi="Times New Roman" w:cs="Times New Roman"/>
              </w:rPr>
              <w:t>Энгельса, д.171в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8A3B55" w:rsidRDefault="008A3B55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Курский РЭС (</w:t>
            </w:r>
            <w:proofErr w:type="spellStart"/>
            <w:r w:rsidR="00EB574A" w:rsidRPr="00C2098D">
              <w:rPr>
                <w:rFonts w:ascii="Times New Roman" w:eastAsia="Times New Roman" w:hAnsi="Times New Roman" w:cs="Times New Roman"/>
              </w:rPr>
              <w:t>Беседенский</w:t>
            </w:r>
            <w:proofErr w:type="spellEnd"/>
            <w:r w:rsidR="00EB574A"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305501, Курская область, Курский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Беседино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Электрическая, д.5</w:t>
            </w:r>
          </w:p>
        </w:tc>
      </w:tr>
      <w:tr w:rsidR="00EB574A" w:rsidRPr="00C2098D" w:rsidTr="003B766A">
        <w:trPr>
          <w:trHeight w:val="671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Медвенка,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К.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Маркса, д.60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Курчатовский РЭС (</w:t>
            </w:r>
            <w:r w:rsidRPr="00C2098D">
              <w:rPr>
                <w:rFonts w:ascii="Times New Roman" w:eastAsia="Times New Roman" w:hAnsi="Times New Roman" w:cs="Times New Roman"/>
              </w:rPr>
              <w:t xml:space="preserve">Октябрьский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>307200, Курская область, Октябрьский р-он, с.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Прямицыно,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Новогодняя, д.2</w:t>
            </w:r>
          </w:p>
        </w:tc>
      </w:tr>
      <w:tr w:rsidR="00EB574A" w:rsidRPr="00C2098D" w:rsidTr="003B766A">
        <w:trPr>
          <w:trHeight w:val="66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2098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EB574A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Золотухинский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РЭС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участок)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C2098D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C2098D">
              <w:rPr>
                <w:rFonts w:ascii="Times New Roman" w:eastAsia="Times New Roman" w:hAnsi="Times New Roman" w:cs="Times New Roman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</w:rPr>
              <w:t xml:space="preserve"> р-он,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2098D">
              <w:rPr>
                <w:rFonts w:ascii="Times New Roman" w:eastAsia="Times New Roman" w:hAnsi="Times New Roman" w:cs="Times New Roman"/>
              </w:rPr>
              <w:t>Поныри, ул. Сапунова, д.7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Дмитриев,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Фосфоритная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 307100,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Фатеж,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Майская, д.24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307540,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Хомутовка,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д.29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307177,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Железногорск, ПС-110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307910, Курская область, сл.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Белая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307800, Курская область, 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Суджа,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Луговая, д.1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Б.Солдатский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307830, 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Б.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Солдатское,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Советская, д.195</w:t>
            </w:r>
          </w:p>
        </w:tc>
      </w:tr>
      <w:tr w:rsidR="00EB574A" w:rsidRPr="00C2098D" w:rsidTr="003B766A">
        <w:trPr>
          <w:trHeight w:val="677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с Никольское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д.2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д.114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307752,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Льгов,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Красная, д.104-а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307370, г.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Рыльск,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Ворошилова, д.49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330450,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Глушково,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Набережная, д.275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307620,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Конышевка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Татаринова, д.54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307410,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Коренево,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Красноармейская, д.62а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307220, Курчатовский р-он, 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Иванино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Механизаторов, д.1а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306800, Курская область,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п.Горшечное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д.65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307000, Курская область, п.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Мантурово, ул.</w:t>
            </w:r>
            <w:r w:rsidR="008813A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</w:rPr>
              <w:t>Маяковского, д.26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РЭС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307060,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Выгорное</w:t>
            </w:r>
            <w:proofErr w:type="spellEnd"/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Pr="00C2098D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Косторенский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д.5</w:t>
            </w:r>
          </w:p>
        </w:tc>
      </w:tr>
      <w:tr w:rsidR="00EB574A" w:rsidRPr="00C2098D" w:rsidTr="003B766A">
        <w:trPr>
          <w:trHeight w:val="5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ул. 8-е Марта, д.25</w:t>
            </w:r>
          </w:p>
        </w:tc>
      </w:tr>
      <w:tr w:rsidR="00EB574A" w:rsidRPr="00C2098D" w:rsidTr="003B766A">
        <w:trPr>
          <w:trHeight w:val="2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EB574A" w:rsidRDefault="00EB574A" w:rsidP="003B76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74A" w:rsidRPr="0093705B" w:rsidRDefault="00EB574A" w:rsidP="003B766A">
            <w:pPr>
              <w:spacing w:after="150" w:line="300" w:lineRule="atLeast"/>
              <w:rPr>
                <w:rFonts w:ascii="Times New Roman" w:eastAsia="Times New Roman" w:hAnsi="Times New Roman" w:cs="Times New Roman"/>
              </w:rPr>
            </w:pPr>
            <w:r w:rsidRPr="0093705B">
              <w:rPr>
                <w:rFonts w:ascii="Times New Roman" w:eastAsia="Times New Roman" w:hAnsi="Times New Roman" w:cs="Times New Roman"/>
              </w:rPr>
              <w:t xml:space="preserve">306530,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</w:rPr>
              <w:t>, д.1а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9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2F2F6C">
      <w:pPr>
        <w:pStyle w:val="40"/>
        <w:shd w:val="clear" w:color="auto" w:fill="auto"/>
        <w:spacing w:after="0"/>
        <w:ind w:left="5320" w:right="480"/>
      </w:pPr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tbl>
      <w:tblPr>
        <w:tblpPr w:leftFromText="180" w:rightFromText="180" w:vertAnchor="text" w:tblpY="293"/>
        <w:tblW w:w="10206" w:type="dxa"/>
        <w:tblLook w:val="04A0" w:firstRow="1" w:lastRow="0" w:firstColumn="1" w:lastColumn="0" w:noHBand="0" w:noVBand="1"/>
      </w:tblPr>
      <w:tblGrid>
        <w:gridCol w:w="565"/>
        <w:gridCol w:w="7301"/>
        <w:gridCol w:w="989"/>
        <w:gridCol w:w="1351"/>
      </w:tblGrid>
      <w:tr w:rsidR="003B766A" w:rsidRPr="00606DAB" w:rsidTr="00711BED">
        <w:trPr>
          <w:trHeight w:val="20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3B766A" w:rsidRPr="00606DAB" w:rsidTr="00711BED">
        <w:trPr>
          <w:trHeight w:val="20"/>
        </w:trPr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2F2F6C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2F2F6C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766A" w:rsidRPr="00606DAB" w:rsidRDefault="003B766A" w:rsidP="002F2F6C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3B766A" w:rsidRPr="00606DAB" w:rsidTr="003B766A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3B766A" w:rsidRPr="00606DAB" w:rsidRDefault="003B766A" w:rsidP="002F2F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711BED" w:rsidRPr="00606DAB" w:rsidTr="00711BED">
        <w:trPr>
          <w:trHeight w:val="23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11BED">
              <w:rPr>
                <w:rFonts w:ascii="Times New Roman" w:hAnsi="Times New Roman" w:cs="Times New Roman"/>
              </w:rPr>
              <w:t xml:space="preserve">Навигационный терминал </w:t>
            </w:r>
            <w:proofErr w:type="spellStart"/>
            <w:r w:rsidRPr="00711BED">
              <w:rPr>
                <w:rFonts w:ascii="Times New Roman" w:hAnsi="Times New Roman" w:cs="Times New Roman"/>
              </w:rPr>
              <w:t>Тетрон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1BED">
              <w:rPr>
                <w:rFonts w:ascii="Times New Roman" w:hAnsi="Times New Roman" w:cs="Times New Roman"/>
              </w:rPr>
              <w:t>Smart</w:t>
            </w:r>
            <w:proofErr w:type="spellEnd"/>
            <w:r w:rsidRPr="00711BE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1BED">
              <w:rPr>
                <w:rFonts w:ascii="Times New Roman" w:hAnsi="Times New Roman" w:cs="Times New Roman"/>
              </w:rPr>
              <w:t>8500,00</w:t>
            </w:r>
          </w:p>
        </w:tc>
      </w:tr>
      <w:tr w:rsidR="00711BED" w:rsidRPr="00606DAB" w:rsidTr="00711BED">
        <w:trPr>
          <w:trHeight w:val="378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Автомобильный видеорегистратор 4-х канальный CARVIS MD-444HDD </w:t>
            </w:r>
            <w:proofErr w:type="spellStart"/>
            <w:r w:rsidRPr="00711BED">
              <w:rPr>
                <w:rFonts w:ascii="Times New Roman" w:hAnsi="Times New Roman" w:cs="Times New Roman"/>
              </w:rPr>
              <w:t>Lite</w:t>
            </w:r>
            <w:proofErr w:type="spellEnd"/>
            <w:r w:rsidRPr="00711BED">
              <w:rPr>
                <w:rFonts w:ascii="Times New Roman" w:hAnsi="Times New Roman" w:cs="Times New Roman"/>
              </w:rPr>
              <w:t>, (4G+</w:t>
            </w:r>
            <w:proofErr w:type="gramStart"/>
            <w:r w:rsidRPr="00711BED">
              <w:rPr>
                <w:rFonts w:ascii="Times New Roman" w:hAnsi="Times New Roman" w:cs="Times New Roman"/>
              </w:rPr>
              <w:t>GPS)*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711BED">
              <w:rPr>
                <w:rFonts w:ascii="Times New Roman" w:eastAsia="Times New Roman" w:hAnsi="Times New Roman" w:cs="Times New Roman"/>
                <w:color w:val="auto"/>
              </w:rPr>
              <w:t>шт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31300,00</w:t>
            </w:r>
          </w:p>
        </w:tc>
      </w:tr>
      <w:tr w:rsidR="00711BED" w:rsidRPr="00606DAB" w:rsidTr="00711BED">
        <w:trPr>
          <w:trHeight w:val="378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Видеокамера CARVIS MС-409IR-M, 2,8мм, антивандальная купольная автомобильная AHD </w:t>
            </w:r>
            <w:proofErr w:type="gramStart"/>
            <w:r w:rsidRPr="00711BED">
              <w:rPr>
                <w:rFonts w:ascii="Times New Roman" w:hAnsi="Times New Roman" w:cs="Times New Roman"/>
              </w:rPr>
              <w:t>камера,*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совместимая для работы с автомобильным видеорегистратором CARVIS*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3500,00</w:t>
            </w:r>
          </w:p>
        </w:tc>
      </w:tr>
      <w:tr w:rsidR="00711BED" w:rsidRPr="00606DAB" w:rsidTr="00711BED">
        <w:trPr>
          <w:trHeight w:val="288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Автомобильный видеорегистратор 8-ми канальный </w:t>
            </w:r>
            <w:proofErr w:type="spellStart"/>
            <w:r w:rsidRPr="00711BED">
              <w:rPr>
                <w:rFonts w:ascii="Times New Roman" w:hAnsi="Times New Roman" w:cs="Times New Roman"/>
              </w:rPr>
              <w:t>EverFocus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EMV-800*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85500,00</w:t>
            </w:r>
          </w:p>
        </w:tc>
      </w:tr>
      <w:tr w:rsidR="00711BED" w:rsidRPr="00055A33" w:rsidTr="00711BED">
        <w:trPr>
          <w:trHeight w:val="396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rPr>
                <w:rFonts w:ascii="Times New Roman" w:hAnsi="Times New Roman" w:cs="Times New Roman"/>
                <w:color w:val="auto"/>
              </w:rPr>
            </w:pPr>
            <w:r w:rsidRPr="00711BED">
              <w:rPr>
                <w:rFonts w:ascii="Times New Roman" w:hAnsi="Times New Roman" w:cs="Times New Roman"/>
              </w:rPr>
              <w:t>Кабель-переходник 4pin (мама) — 4pin (папа) 2 метра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1BED">
              <w:rPr>
                <w:rFonts w:ascii="Times New Roman" w:hAnsi="Times New Roman" w:cs="Times New Roman"/>
              </w:rPr>
              <w:t>1200,00</w:t>
            </w:r>
          </w:p>
        </w:tc>
      </w:tr>
      <w:tr w:rsidR="00711BED" w:rsidRPr="00055A33" w:rsidTr="00711BED">
        <w:trPr>
          <w:trHeight w:val="285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Кабель-переходник 4pin (мама) — 4pin (папа) 5 метров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1500,00</w:t>
            </w:r>
          </w:p>
        </w:tc>
      </w:tr>
      <w:tr w:rsidR="00711BED" w:rsidRPr="00055A33" w:rsidTr="00711BED">
        <w:trPr>
          <w:trHeight w:val="360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11BED">
              <w:rPr>
                <w:rFonts w:ascii="Times New Roman" w:hAnsi="Times New Roman" w:cs="Times New Roman"/>
              </w:rPr>
              <w:t>Карта</w:t>
            </w:r>
            <w:r w:rsidRPr="00711B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1BED">
              <w:rPr>
                <w:rFonts w:ascii="Times New Roman" w:hAnsi="Times New Roman" w:cs="Times New Roman"/>
              </w:rPr>
              <w:t>памяти</w:t>
            </w:r>
            <w:r w:rsidRPr="00711BED">
              <w:rPr>
                <w:rFonts w:ascii="Times New Roman" w:hAnsi="Times New Roman" w:cs="Times New Roman"/>
                <w:lang w:val="en-US"/>
              </w:rPr>
              <w:t xml:space="preserve"> SDXC UHS-1 Class 10 128Gb*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2700,00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Твердотельный накопитель SSD 2.5 SATA-3 512</w:t>
            </w:r>
            <w:proofErr w:type="gramStart"/>
            <w:r w:rsidRPr="00711BED">
              <w:rPr>
                <w:rFonts w:ascii="Times New Roman" w:hAnsi="Times New Roman" w:cs="Times New Roman"/>
              </w:rPr>
              <w:t>Gb &gt;TBW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6500,00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Твердотельный накопитель SSD 2.5 SATA-3 1</w:t>
            </w:r>
            <w:proofErr w:type="gramStart"/>
            <w:r w:rsidRPr="00711BED">
              <w:rPr>
                <w:rFonts w:ascii="Times New Roman" w:hAnsi="Times New Roman" w:cs="Times New Roman"/>
              </w:rPr>
              <w:t>Tb &gt;TBW</w:t>
            </w:r>
            <w:proofErr w:type="gramEnd"/>
            <w:r w:rsidRPr="00711BED">
              <w:rPr>
                <w:rFonts w:ascii="Times New Roman" w:hAnsi="Times New Roman" w:cs="Times New Roman"/>
              </w:rPr>
              <w:t xml:space="preserve"> 700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11000,00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1000мм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8000,00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1500мм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11000,00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2000мм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13000,00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Датчик уровня топлива "ЗОНД" 3000мм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15000,00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(1000 мм)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7500,00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(1500 мм)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8500,00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(2000 мм)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9000,00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уровня топлива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(3000 мм)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10500,00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База для ДУТ </w:t>
            </w:r>
            <w:proofErr w:type="spellStart"/>
            <w:r w:rsidRPr="00711BED">
              <w:rPr>
                <w:rFonts w:ascii="Times New Roman" w:hAnsi="Times New Roman" w:cs="Times New Roman"/>
              </w:rPr>
              <w:t>Fantom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2800,00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Измеритель параметров электрической сети электроустановок трехфазный в сборе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12500,00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Счетчик электроэнергии трехфазный многотарифный Меркурий-230ART-02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10750,00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Счетчик электроэнергии трехфазный многотарифный Меркурий-234 ARTM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16500,00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контроля моточасов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2950,00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Комплект голосовой связи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2250,00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Датчик температуры проводной </w:t>
            </w:r>
            <w:proofErr w:type="spellStart"/>
            <w:r w:rsidRPr="00711BED">
              <w:rPr>
                <w:rFonts w:ascii="Times New Roman" w:hAnsi="Times New Roman" w:cs="Times New Roman"/>
              </w:rPr>
              <w:t>Миелта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5 метров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Преобразователь напряжения 220/12В (ББП-20)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Преобразователь напряжения «ПН-Плюс» 12-24/8А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3000,00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Преобразователь напряжения </w:t>
            </w:r>
            <w:proofErr w:type="spellStart"/>
            <w:r w:rsidRPr="00711BED">
              <w:rPr>
                <w:rFonts w:ascii="Times New Roman" w:hAnsi="Times New Roman" w:cs="Times New Roman"/>
              </w:rPr>
              <w:t>Hiton</w:t>
            </w:r>
            <w:proofErr w:type="spellEnd"/>
            <w:r w:rsidRPr="00711BED">
              <w:rPr>
                <w:rFonts w:ascii="Times New Roman" w:hAnsi="Times New Roman" w:cs="Times New Roman"/>
              </w:rPr>
              <w:t xml:space="preserve"> RF-10A 24-12/10А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Антивандальный ящик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Кабель монтажный ДУТ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3500,00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Бесконтактный считыватель шины CAN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2750,00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Тревожная кнопка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350,00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Антенна ГЛОНАСС/GPS магнитная (FAKRA/SMA)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950,00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Антенна GSM самоклеящаяся (FAKRA/SMA)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750,00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 xml:space="preserve">Кабель терминала спутникового мониторинга </w:t>
            </w:r>
            <w:proofErr w:type="spellStart"/>
            <w:r w:rsidRPr="00711BED">
              <w:rPr>
                <w:rFonts w:ascii="Times New Roman" w:hAnsi="Times New Roman" w:cs="Times New Roman"/>
              </w:rPr>
              <w:t>Tetron-Smart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750,00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Держатель предохранителя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25,00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Предохранитель 3А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10,00</w:t>
            </w:r>
          </w:p>
        </w:tc>
      </w:tr>
      <w:tr w:rsidR="00711BED" w:rsidRPr="00606DAB" w:rsidTr="00711BED">
        <w:trPr>
          <w:trHeight w:val="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both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Адаптер CAN-LOG*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711BED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11BE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711BED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711BED">
              <w:rPr>
                <w:rFonts w:ascii="Times New Roman" w:hAnsi="Times New Roman" w:cs="Times New Roman"/>
              </w:rPr>
              <w:t>6920,00</w:t>
            </w:r>
          </w:p>
        </w:tc>
      </w:tr>
    </w:tbl>
    <w:p w:rsidR="00350589" w:rsidRDefault="00A32B63" w:rsidP="002F2F6C">
      <w:pPr>
        <w:pStyle w:val="40"/>
        <w:shd w:val="clear" w:color="auto" w:fill="auto"/>
        <w:spacing w:after="0"/>
        <w:ind w:right="1240"/>
        <w:jc w:val="center"/>
      </w:pPr>
      <w:r>
        <w:t>Перечень материалов необходимых для технического обслуживания</w:t>
      </w:r>
    </w:p>
    <w:p w:rsidR="00FF626C" w:rsidRPr="000C3E1E" w:rsidRDefault="000C3E1E" w:rsidP="000C3E1E">
      <w:pPr>
        <w:pStyle w:val="12"/>
        <w:keepNext/>
        <w:keepLines/>
        <w:shd w:val="clear" w:color="auto" w:fill="auto"/>
        <w:spacing w:after="244" w:line="278" w:lineRule="exact"/>
        <w:ind w:right="100"/>
        <w:jc w:val="left"/>
        <w:rPr>
          <w:rStyle w:val="1115pt"/>
          <w:color w:val="000000" w:themeColor="text1"/>
          <w:lang w:val="ru-RU"/>
        </w:rPr>
      </w:pPr>
      <w:bookmarkStart w:id="2" w:name="bookmark7"/>
      <w:r w:rsidRPr="000C3E1E">
        <w:rPr>
          <w:rStyle w:val="1115pt"/>
          <w:color w:val="000000" w:themeColor="text1"/>
          <w:lang w:val="ru-RU"/>
        </w:rPr>
        <w:t>*</w:t>
      </w:r>
      <w:r w:rsidR="00E14CCA">
        <w:rPr>
          <w:rStyle w:val="1115pt"/>
          <w:color w:val="000000" w:themeColor="text1"/>
          <w:lang w:val="ru-RU"/>
        </w:rPr>
        <w:t xml:space="preserve"> </w:t>
      </w:r>
      <w:r w:rsidRPr="000C3E1E">
        <w:rPr>
          <w:rStyle w:val="1115pt"/>
          <w:color w:val="000000" w:themeColor="text1"/>
          <w:lang w:val="ru-RU"/>
        </w:rPr>
        <w:t>-</w:t>
      </w:r>
      <w:r w:rsidR="00E14CCA">
        <w:rPr>
          <w:rStyle w:val="1115pt"/>
          <w:color w:val="000000" w:themeColor="text1"/>
          <w:lang w:val="ru-RU"/>
        </w:rPr>
        <w:t xml:space="preserve"> </w:t>
      </w:r>
      <w:r>
        <w:rPr>
          <w:rStyle w:val="1115pt"/>
          <w:color w:val="000000" w:themeColor="text1"/>
          <w:lang w:val="ru-RU"/>
        </w:rPr>
        <w:t>либо аналог</w:t>
      </w:r>
      <w:r w:rsidR="002D3D32">
        <w:rPr>
          <w:rStyle w:val="1115pt"/>
          <w:color w:val="000000" w:themeColor="text1"/>
          <w:lang w:val="ru-RU"/>
        </w:rPr>
        <w:t>,</w:t>
      </w:r>
      <w:r>
        <w:rPr>
          <w:rStyle w:val="1115pt"/>
          <w:color w:val="000000" w:themeColor="text1"/>
          <w:lang w:val="ru-RU"/>
        </w:rPr>
        <w:t xml:space="preserve"> совместимы</w:t>
      </w:r>
      <w:r w:rsidR="002D3D32">
        <w:rPr>
          <w:rStyle w:val="1115pt"/>
          <w:color w:val="000000" w:themeColor="text1"/>
          <w:lang w:val="ru-RU"/>
        </w:rPr>
        <w:t>й</w:t>
      </w:r>
      <w:r>
        <w:rPr>
          <w:rStyle w:val="1115pt"/>
          <w:color w:val="000000" w:themeColor="text1"/>
          <w:lang w:val="ru-RU"/>
        </w:rPr>
        <w:t xml:space="preserve"> в работе с системой </w:t>
      </w:r>
      <w:r>
        <w:rPr>
          <w:rStyle w:val="1115pt"/>
          <w:color w:val="000000" w:themeColor="text1"/>
          <w:lang w:val="en-US"/>
        </w:rPr>
        <w:t>Wialon</w:t>
      </w:r>
    </w:p>
    <w:p w:rsidR="00FF626C" w:rsidRPr="00FE6070" w:rsidRDefault="00FF626C">
      <w:pPr>
        <w:rPr>
          <w:rStyle w:val="1115pt"/>
          <w:rFonts w:eastAsia="Arial Unicode MS"/>
          <w:b w:val="0"/>
          <w:bCs w:val="0"/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</w:rPr>
        <w:br w:type="page"/>
      </w:r>
    </w:p>
    <w:p w:rsidR="00350589" w:rsidRPr="003759B1" w:rsidRDefault="00A32B63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2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3" w:name="bookmark8"/>
      <w:r w:rsidRPr="003759B1">
        <w:rPr>
          <w:color w:val="000000" w:themeColor="text1"/>
        </w:rPr>
        <w:t>Перечень работ необходимых для технического обслуживания</w:t>
      </w:r>
      <w:bookmarkEnd w:id="3"/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331"/>
        <w:gridCol w:w="1559"/>
      </w:tblGrid>
      <w:tr w:rsidR="00606DAB" w:rsidRPr="00606DAB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752B85" w:rsidP="00752B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711BED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606DAB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bookmarkStart w:id="4" w:name="_GoBack" w:colFirst="2" w:colLast="2"/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B6483B" w:rsidRDefault="00711BED" w:rsidP="00711BED">
            <w:pPr>
              <w:rPr>
                <w:rFonts w:ascii="Times New Roman" w:hAnsi="Times New Roman" w:cs="Times New Roman"/>
                <w:color w:val="auto"/>
              </w:rPr>
            </w:pPr>
            <w:r w:rsidRPr="00B6483B">
              <w:rPr>
                <w:rFonts w:ascii="Times New Roman" w:hAnsi="Times New Roman" w:cs="Times New Roman"/>
              </w:rPr>
              <w:t>Установка бортового блока (открытая)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BED" w:rsidRPr="005D4311" w:rsidRDefault="00711BED" w:rsidP="00711B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1750,00</w:t>
            </w:r>
          </w:p>
        </w:tc>
      </w:tr>
      <w:tr w:rsidR="00711BED" w:rsidRPr="00606DAB" w:rsidTr="009E45A8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606DAB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BED" w:rsidRPr="00B6483B" w:rsidRDefault="00711BED" w:rsidP="00711BE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бортового блока (скрытая)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BED" w:rsidRPr="005D4311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2500,00</w:t>
            </w:r>
          </w:p>
        </w:tc>
      </w:tr>
      <w:tr w:rsidR="00711BED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606DAB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B6483B" w:rsidRDefault="00711BED" w:rsidP="00711BE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автомобильного видеорегистратора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1BED" w:rsidRPr="005D4311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3500,00</w:t>
            </w:r>
          </w:p>
        </w:tc>
      </w:tr>
      <w:tr w:rsidR="00711BED" w:rsidRPr="00606DAB" w:rsidTr="009E45A8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101DB3" w:rsidRDefault="00711BED" w:rsidP="00711BE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1BED" w:rsidRPr="00B6483B" w:rsidRDefault="00711BED" w:rsidP="00711BED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1BED" w:rsidRPr="005D4311" w:rsidRDefault="00711BED" w:rsidP="00711BED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2500,00</w:t>
            </w:r>
          </w:p>
        </w:tc>
      </w:tr>
      <w:bookmarkEnd w:id="4"/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B6483B">
              <w:rPr>
                <w:rFonts w:ascii="Times New Roman" w:hAnsi="Times New Roman" w:cs="Times New Roman"/>
              </w:rPr>
              <w:t>Установка датчика уровня топлива на спецтехнику (перегружатель \ погрузчик \ экскаватор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3500,00</w:t>
            </w:r>
          </w:p>
        </w:tc>
      </w:tr>
      <w:tr w:rsidR="005D4311" w:rsidRPr="00606DAB" w:rsidTr="009E45A8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Установка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1500,00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350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1750,00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600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2250,00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 xml:space="preserve">Тарировка топливного бака емкостью до 1 200 литров (автоматическая с помощью АЗС или переносной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миниАЗС</w:t>
            </w:r>
            <w:proofErr w:type="spellEnd"/>
            <w:r w:rsidRPr="00B648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3500,00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B6483B" w:rsidRDefault="005D4311" w:rsidP="005D4311">
            <w:pPr>
              <w:rPr>
                <w:rFonts w:ascii="Times New Roman" w:hAnsi="Times New Roman" w:cs="Times New Roman"/>
              </w:rPr>
            </w:pPr>
            <w:r w:rsidRPr="00B6483B">
              <w:rPr>
                <w:rFonts w:ascii="Times New Roman" w:hAnsi="Times New Roman" w:cs="Times New Roman"/>
              </w:rPr>
              <w:t>Подключение к штатному датчику ТС (</w:t>
            </w:r>
            <w:proofErr w:type="spellStart"/>
            <w:r w:rsidRPr="00B6483B">
              <w:rPr>
                <w:rFonts w:ascii="Times New Roman" w:hAnsi="Times New Roman" w:cs="Times New Roman"/>
              </w:rPr>
              <w:t>концевики</w:t>
            </w:r>
            <w:proofErr w:type="spellEnd"/>
            <w:r w:rsidRPr="00B6483B">
              <w:rPr>
                <w:rFonts w:ascii="Times New Roman" w:hAnsi="Times New Roman" w:cs="Times New Roman"/>
              </w:rPr>
              <w:t xml:space="preserve">, автономные </w:t>
            </w:r>
            <w:proofErr w:type="spellStart"/>
            <w:r w:rsidRPr="00B6483B">
              <w:rPr>
                <w:rFonts w:ascii="Times New Roman" w:hAnsi="Times New Roman" w:cs="Times New Roman"/>
              </w:rPr>
              <w:t>отопители</w:t>
            </w:r>
            <w:proofErr w:type="spellEnd"/>
            <w:r w:rsidRPr="00B6483B">
              <w:rPr>
                <w:rFonts w:ascii="Times New Roman" w:hAnsi="Times New Roman" w:cs="Times New Roman"/>
              </w:rPr>
              <w:t xml:space="preserve"> и т.д.)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9549DC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1750,00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0F2E05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0F2E05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 xml:space="preserve">Подключение </w:t>
            </w:r>
            <w:proofErr w:type="spellStart"/>
            <w:r w:rsidRPr="000F2E05">
              <w:rPr>
                <w:rFonts w:ascii="Times New Roman" w:hAnsi="Times New Roman" w:cs="Times New Roman"/>
              </w:rPr>
              <w:t>тангеты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1250,00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Подключение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проводного датчика температуры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датчика индуктивного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101DB3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Установка трехфазного счетчика электроэнергии / измерителя параметров электрической сети энергоустановок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3500,00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датчика уровня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подключения к штатному датчику или кнопке/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32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Диагностика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питания на бортовом оборудовании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SIM карты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антенны (GPS/ГЛОНАСС/GSM)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Изменение схемы питания подключения бортового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DA751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Полный демонтаж комплекта основного оборудования (ББ, подключения, проводка, </w:t>
            </w:r>
            <w:proofErr w:type="spellStart"/>
            <w:r w:rsidRPr="000F2E05">
              <w:rPr>
                <w:rFonts w:ascii="Times New Roman" w:hAnsi="Times New Roman" w:cs="Times New Roman"/>
              </w:rPr>
              <w:t>вилеокамеры</w:t>
            </w:r>
            <w:proofErr w:type="spellEnd"/>
            <w:r w:rsidRPr="000F2E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1250,00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1000,00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1500,00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датчика уровня топлива в топливном баке автомобиля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подключения к штатному датчику или кнопке/</w:t>
            </w:r>
            <w:proofErr w:type="spellStart"/>
            <w:r w:rsidRPr="000F2E05">
              <w:rPr>
                <w:rFonts w:ascii="Times New Roman" w:hAnsi="Times New Roman" w:cs="Times New Roman"/>
              </w:rPr>
              <w:t>концевик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динамика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микрофона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тревожной кнопки (кнопки вызова)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Повторная установка комплекта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1150,00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</w:t>
            </w:r>
            <w:proofErr w:type="spellStart"/>
            <w:r w:rsidRPr="000F2E05">
              <w:rPr>
                <w:rFonts w:ascii="Times New Roman" w:hAnsi="Times New Roman" w:cs="Times New Roman"/>
              </w:rPr>
              <w:t>тангеты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Замена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750,00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Восстановление работоспособности или </w:t>
            </w:r>
            <w:proofErr w:type="gramStart"/>
            <w:r w:rsidRPr="000F2E05">
              <w:rPr>
                <w:rFonts w:ascii="Times New Roman" w:hAnsi="Times New Roman" w:cs="Times New Roman"/>
              </w:rPr>
              <w:t>замена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или демонтаж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550,00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0F2E05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0F2E05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5D4311" w:rsidRPr="00606DAB" w:rsidTr="009E45A8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  <w:color w:val="auto"/>
              </w:rPr>
            </w:pPr>
            <w:r w:rsidRPr="000F2E05">
              <w:rPr>
                <w:rFonts w:ascii="Times New Roman" w:hAnsi="Times New Roman" w:cs="Times New Roman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4311">
              <w:rPr>
                <w:rFonts w:ascii="Times New Roman" w:hAnsi="Times New Roman" w:cs="Times New Roman"/>
              </w:rPr>
              <w:t>2000,00</w:t>
            </w:r>
          </w:p>
        </w:tc>
      </w:tr>
      <w:tr w:rsidR="005D4311" w:rsidRPr="00606DAB" w:rsidTr="009E45A8">
        <w:trPr>
          <w:trHeight w:val="4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Демонтаж-монтаж топливного бака (самостоятельно,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3000,00</w:t>
            </w:r>
          </w:p>
        </w:tc>
      </w:tr>
      <w:tr w:rsidR="005D4311" w:rsidRPr="00606DAB" w:rsidTr="009E45A8">
        <w:trPr>
          <w:trHeight w:val="4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Создания шаблона отчета в ПО </w:t>
            </w:r>
            <w:proofErr w:type="spellStart"/>
            <w:r w:rsidRPr="000F2E05">
              <w:rPr>
                <w:rFonts w:ascii="Times New Roman" w:hAnsi="Times New Roman" w:cs="Times New Roman"/>
              </w:rPr>
              <w:t>Wialon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2E05">
              <w:rPr>
                <w:rFonts w:ascii="Times New Roman" w:hAnsi="Times New Roman" w:cs="Times New Roman"/>
              </w:rPr>
              <w:t>согласно задания</w:t>
            </w:r>
            <w:proofErr w:type="gramEnd"/>
            <w:r w:rsidRPr="000F2E05">
              <w:rPr>
                <w:rFonts w:ascii="Times New Roman" w:hAnsi="Times New Roman" w:cs="Times New Roman"/>
              </w:rPr>
              <w:t xml:space="preserve">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500,00</w:t>
            </w:r>
          </w:p>
        </w:tc>
      </w:tr>
      <w:tr w:rsidR="005D4311" w:rsidRPr="00606DAB" w:rsidTr="009E45A8">
        <w:trPr>
          <w:trHeight w:val="5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61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2500,00</w:t>
            </w:r>
          </w:p>
        </w:tc>
      </w:tr>
      <w:tr w:rsidR="005D4311" w:rsidRPr="00606DAB" w:rsidTr="009E45A8">
        <w:trPr>
          <w:trHeight w:val="3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1550,00</w:t>
            </w:r>
          </w:p>
        </w:tc>
      </w:tr>
      <w:tr w:rsidR="005D4311" w:rsidRPr="00606DAB" w:rsidTr="009E45A8">
        <w:trPr>
          <w:trHeight w:val="33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B6483B" w:rsidRDefault="005D4311" w:rsidP="005D431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311" w:rsidRPr="000F2E05" w:rsidRDefault="005D4311" w:rsidP="005D4311">
            <w:pPr>
              <w:rPr>
                <w:rFonts w:ascii="Times New Roman" w:hAnsi="Times New Roman" w:cs="Times New Roman"/>
              </w:rPr>
            </w:pPr>
            <w:r w:rsidRPr="000F2E05">
              <w:rPr>
                <w:rFonts w:ascii="Times New Roman" w:hAnsi="Times New Roman" w:cs="Times New Roman"/>
              </w:rPr>
              <w:t xml:space="preserve">Размещение объекта мониторинга на сервере </w:t>
            </w:r>
            <w:proofErr w:type="spellStart"/>
            <w:r w:rsidRPr="000F2E05">
              <w:rPr>
                <w:rFonts w:ascii="Times New Roman" w:hAnsi="Times New Roman" w:cs="Times New Roman"/>
              </w:rPr>
              <w:t>Wialon</w:t>
            </w:r>
            <w:proofErr w:type="spellEnd"/>
            <w:r w:rsidRPr="000F2E05">
              <w:rPr>
                <w:rFonts w:ascii="Times New Roman" w:hAnsi="Times New Roman" w:cs="Times New Roman"/>
              </w:rPr>
              <w:t xml:space="preserve"> исполнителя (1 мес.)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4311" w:rsidRPr="005D4311" w:rsidRDefault="005D4311" w:rsidP="005D4311">
            <w:pPr>
              <w:jc w:val="center"/>
              <w:rPr>
                <w:rFonts w:ascii="Times New Roman" w:hAnsi="Times New Roman" w:cs="Times New Roman"/>
              </w:rPr>
            </w:pPr>
            <w:r w:rsidRPr="005D4311">
              <w:rPr>
                <w:rFonts w:ascii="Times New Roman" w:hAnsi="Times New Roman" w:cs="Times New Roman"/>
              </w:rPr>
              <w:t>250,00</w:t>
            </w:r>
          </w:p>
        </w:tc>
      </w:tr>
    </w:tbl>
    <w:p w:rsidR="00350589" w:rsidRPr="00EF2EBF" w:rsidRDefault="00350589" w:rsidP="00C1395B"/>
    <w:sectPr w:rsidR="00350589" w:rsidRPr="00EF2EBF" w:rsidSect="003B766A">
      <w:headerReference w:type="default" r:id="rId10"/>
      <w:pgSz w:w="11905" w:h="16837"/>
      <w:pgMar w:top="680" w:right="340" w:bottom="142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604" w:rsidRDefault="00420604">
      <w:r>
        <w:separator/>
      </w:r>
    </w:p>
  </w:endnote>
  <w:endnote w:type="continuationSeparator" w:id="0">
    <w:p w:rsidR="00420604" w:rsidRDefault="0042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604" w:rsidRDefault="00420604"/>
  </w:footnote>
  <w:footnote w:type="continuationSeparator" w:id="0">
    <w:p w:rsidR="00420604" w:rsidRDefault="00420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51B" w:rsidRDefault="005035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51B" w:rsidRDefault="0050351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51B" w:rsidRPr="003B766A" w:rsidRDefault="0050351B" w:rsidP="003B76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89"/>
    <w:rsid w:val="00023166"/>
    <w:rsid w:val="0004107F"/>
    <w:rsid w:val="00055A33"/>
    <w:rsid w:val="000975D6"/>
    <w:rsid w:val="000B1688"/>
    <w:rsid w:val="000B492D"/>
    <w:rsid w:val="000B720A"/>
    <w:rsid w:val="000C3E1E"/>
    <w:rsid w:val="000E17ED"/>
    <w:rsid w:val="000F2E05"/>
    <w:rsid w:val="00101DB3"/>
    <w:rsid w:val="00142A98"/>
    <w:rsid w:val="00193D5D"/>
    <w:rsid w:val="001B16C4"/>
    <w:rsid w:val="001C2986"/>
    <w:rsid w:val="001E68A0"/>
    <w:rsid w:val="0020623C"/>
    <w:rsid w:val="00261D0D"/>
    <w:rsid w:val="00277CDA"/>
    <w:rsid w:val="0028712E"/>
    <w:rsid w:val="002A363F"/>
    <w:rsid w:val="002D3D32"/>
    <w:rsid w:val="002E2D64"/>
    <w:rsid w:val="002F2F6C"/>
    <w:rsid w:val="00301950"/>
    <w:rsid w:val="0031536C"/>
    <w:rsid w:val="003319F1"/>
    <w:rsid w:val="00350589"/>
    <w:rsid w:val="003759B1"/>
    <w:rsid w:val="00396698"/>
    <w:rsid w:val="003B6C56"/>
    <w:rsid w:val="003B766A"/>
    <w:rsid w:val="00417D89"/>
    <w:rsid w:val="00420604"/>
    <w:rsid w:val="004231BC"/>
    <w:rsid w:val="00431820"/>
    <w:rsid w:val="00447D42"/>
    <w:rsid w:val="004831BF"/>
    <w:rsid w:val="004A1B56"/>
    <w:rsid w:val="004B58C8"/>
    <w:rsid w:val="004C3C01"/>
    <w:rsid w:val="004C5D43"/>
    <w:rsid w:val="0050351B"/>
    <w:rsid w:val="00542201"/>
    <w:rsid w:val="00563F9C"/>
    <w:rsid w:val="005C394D"/>
    <w:rsid w:val="005D4311"/>
    <w:rsid w:val="00606DAB"/>
    <w:rsid w:val="0061471F"/>
    <w:rsid w:val="00625A52"/>
    <w:rsid w:val="00653580"/>
    <w:rsid w:val="00667D25"/>
    <w:rsid w:val="00683F4F"/>
    <w:rsid w:val="0068411F"/>
    <w:rsid w:val="006843E2"/>
    <w:rsid w:val="006F0F7D"/>
    <w:rsid w:val="00711BED"/>
    <w:rsid w:val="00727D3B"/>
    <w:rsid w:val="0073214B"/>
    <w:rsid w:val="00732CC0"/>
    <w:rsid w:val="00752B85"/>
    <w:rsid w:val="0076672F"/>
    <w:rsid w:val="007B2FA5"/>
    <w:rsid w:val="007E372C"/>
    <w:rsid w:val="007F0DC3"/>
    <w:rsid w:val="007F2270"/>
    <w:rsid w:val="007F6CFD"/>
    <w:rsid w:val="00805601"/>
    <w:rsid w:val="00812453"/>
    <w:rsid w:val="00851AA7"/>
    <w:rsid w:val="00855CAD"/>
    <w:rsid w:val="008678B4"/>
    <w:rsid w:val="008813A6"/>
    <w:rsid w:val="0089101C"/>
    <w:rsid w:val="008A3B55"/>
    <w:rsid w:val="008B0008"/>
    <w:rsid w:val="008D1A31"/>
    <w:rsid w:val="008F0483"/>
    <w:rsid w:val="00910B85"/>
    <w:rsid w:val="00913FC5"/>
    <w:rsid w:val="009206B3"/>
    <w:rsid w:val="00934AC0"/>
    <w:rsid w:val="009549DC"/>
    <w:rsid w:val="009A679C"/>
    <w:rsid w:val="009B12F8"/>
    <w:rsid w:val="009E45A8"/>
    <w:rsid w:val="00A079E2"/>
    <w:rsid w:val="00A32B63"/>
    <w:rsid w:val="00A52FE8"/>
    <w:rsid w:val="00A72576"/>
    <w:rsid w:val="00AB5BE1"/>
    <w:rsid w:val="00AC26E6"/>
    <w:rsid w:val="00AD7E2E"/>
    <w:rsid w:val="00AE728D"/>
    <w:rsid w:val="00B0599C"/>
    <w:rsid w:val="00B234C2"/>
    <w:rsid w:val="00B6483B"/>
    <w:rsid w:val="00B75D25"/>
    <w:rsid w:val="00B76C9A"/>
    <w:rsid w:val="00B86E06"/>
    <w:rsid w:val="00B87072"/>
    <w:rsid w:val="00B94DD2"/>
    <w:rsid w:val="00BA4D55"/>
    <w:rsid w:val="00BA7B32"/>
    <w:rsid w:val="00BC0691"/>
    <w:rsid w:val="00BC52DA"/>
    <w:rsid w:val="00BF070B"/>
    <w:rsid w:val="00C1395B"/>
    <w:rsid w:val="00C23032"/>
    <w:rsid w:val="00C2325D"/>
    <w:rsid w:val="00C47E14"/>
    <w:rsid w:val="00C66BA2"/>
    <w:rsid w:val="00CC1073"/>
    <w:rsid w:val="00CE1CF6"/>
    <w:rsid w:val="00CF4C13"/>
    <w:rsid w:val="00CF79D9"/>
    <w:rsid w:val="00D23136"/>
    <w:rsid w:val="00D558F2"/>
    <w:rsid w:val="00D7309F"/>
    <w:rsid w:val="00D80F8D"/>
    <w:rsid w:val="00D87C81"/>
    <w:rsid w:val="00DA7033"/>
    <w:rsid w:val="00DA751B"/>
    <w:rsid w:val="00DA7870"/>
    <w:rsid w:val="00DB2230"/>
    <w:rsid w:val="00DF1768"/>
    <w:rsid w:val="00DF3B86"/>
    <w:rsid w:val="00DF7706"/>
    <w:rsid w:val="00E028CD"/>
    <w:rsid w:val="00E110B1"/>
    <w:rsid w:val="00E14CCA"/>
    <w:rsid w:val="00E35953"/>
    <w:rsid w:val="00E632B6"/>
    <w:rsid w:val="00E703BD"/>
    <w:rsid w:val="00EA22C5"/>
    <w:rsid w:val="00EA7781"/>
    <w:rsid w:val="00EB574A"/>
    <w:rsid w:val="00ED6E42"/>
    <w:rsid w:val="00EF2EBF"/>
    <w:rsid w:val="00EF40DF"/>
    <w:rsid w:val="00EF6D16"/>
    <w:rsid w:val="00F467CC"/>
    <w:rsid w:val="00F63388"/>
    <w:rsid w:val="00F6774C"/>
    <w:rsid w:val="00F7328C"/>
    <w:rsid w:val="00F83037"/>
    <w:rsid w:val="00F83273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4AE1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2E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2EBF"/>
    <w:rPr>
      <w:color w:val="000000"/>
    </w:rPr>
  </w:style>
  <w:style w:type="paragraph" w:customStyle="1" w:styleId="Style3">
    <w:name w:val="Style3"/>
    <w:basedOn w:val="a"/>
    <w:rsid w:val="007F2270"/>
    <w:pPr>
      <w:widowControl w:val="0"/>
      <w:autoSpaceDE w:val="0"/>
      <w:autoSpaceDN w:val="0"/>
      <w:adjustRightInd w:val="0"/>
      <w:spacing w:line="318" w:lineRule="exact"/>
      <w:jc w:val="center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C5877-0748-4536-BF50-F3D2EBFA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19969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Колганов Дмитрий Геннадьевич</cp:lastModifiedBy>
  <cp:revision>8</cp:revision>
  <cp:lastPrinted>2022-04-20T08:13:00Z</cp:lastPrinted>
  <dcterms:created xsi:type="dcterms:W3CDTF">2022-04-20T08:14:00Z</dcterms:created>
  <dcterms:modified xsi:type="dcterms:W3CDTF">2023-03-02T06:46:00Z</dcterms:modified>
</cp:coreProperties>
</file>