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AA" w:rsidRDefault="006C2B0E">
      <w:pPr>
        <w:pStyle w:val="23"/>
        <w:keepNext/>
        <w:keepLines/>
        <w:shd w:val="clear" w:color="auto" w:fill="auto"/>
        <w:ind w:left="3360"/>
      </w:pPr>
      <w:bookmarkStart w:id="0" w:name="bookmark1"/>
      <w:r>
        <w:t>ТЕХНИЧЕСКОЕ ЗАДАНИЕ</w:t>
      </w:r>
      <w:bookmarkEnd w:id="0"/>
    </w:p>
    <w:p w:rsidR="00CB6CAA" w:rsidRDefault="006C2B0E">
      <w:pPr>
        <w:pStyle w:val="31"/>
        <w:shd w:val="clear" w:color="auto" w:fill="auto"/>
      </w:pPr>
      <w:r>
        <w:t>на выполнение работ по ремонту силовых трансформаторов 3-4-5-6 габаритов.</w:t>
      </w:r>
    </w:p>
    <w:p w:rsidR="00CB6CAA" w:rsidRDefault="006C2B0E">
      <w:pPr>
        <w:pStyle w:val="21"/>
        <w:shd w:val="clear" w:color="auto" w:fill="auto"/>
        <w:spacing w:after="294" w:line="295" w:lineRule="exact"/>
        <w:jc w:val="center"/>
      </w:pPr>
      <w:r>
        <w:t>Лот № 3000404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4251"/>
        </w:tabs>
        <w:spacing w:line="302" w:lineRule="exact"/>
        <w:ind w:left="3900"/>
      </w:pPr>
      <w:bookmarkStart w:id="1" w:name="bookmark2"/>
      <w:r>
        <w:t>Общая часть.</w:t>
      </w:r>
      <w:bookmarkEnd w:id="1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302" w:lineRule="exact"/>
        <w:jc w:val="both"/>
      </w:pPr>
      <w:r>
        <w:t>Филиал ПАО «МРСК Центра» - «Брянскэнерго» производит закупку работ по ремонту силовых трансформаторов 3-4-5-6 габаритов.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295" w:lineRule="exact"/>
        <w:jc w:val="both"/>
      </w:pPr>
      <w:r>
        <w:t>Закупка производится на основании ремонтной программы на 2021 года.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295" w:lineRule="exact"/>
        <w:jc w:val="both"/>
      </w:pPr>
      <w:r>
        <w:t>Подрядчик определяется на основании проведения конкурентной закупоч</w:t>
      </w:r>
      <w:r>
        <w:t>ной процедуры на выполнение данного вида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295" w:lineRule="exact"/>
        <w:jc w:val="both"/>
      </w:pPr>
      <w:r>
        <w:t>Все условия выполнения работ определяются и регулируются на основе договора заключённого Заказчиком с победителем конкурентной закупочной процедуры.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after="306" w:line="295" w:lineRule="exact"/>
        <w:jc w:val="both"/>
      </w:pPr>
      <w:r>
        <w:t>Все необходимые материалы для выполнения работ поставляются</w:t>
      </w:r>
      <w:r>
        <w:t xml:space="preserve"> Подрядчиком.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949"/>
        </w:tabs>
        <w:spacing w:line="288" w:lineRule="exact"/>
        <w:ind w:left="3580"/>
      </w:pPr>
      <w:bookmarkStart w:id="2" w:name="bookmark3"/>
      <w:r>
        <w:t>Предмет конкурса.</w:t>
      </w:r>
      <w:bookmarkEnd w:id="2"/>
    </w:p>
    <w:p w:rsidR="00CB6CAA" w:rsidRDefault="006C2B0E">
      <w:pPr>
        <w:pStyle w:val="21"/>
        <w:shd w:val="clear" w:color="auto" w:fill="auto"/>
        <w:spacing w:line="288" w:lineRule="exact"/>
        <w:jc w:val="both"/>
      </w:pPr>
      <w:r>
        <w:t>Выполнение работ по ремонту силовых трансформаторов 3-4-5-6 габаритов должно быть произведено в объемах и в сроки, установленные заказчиком на следующих объектах: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2923"/>
        <w:gridCol w:w="3769"/>
        <w:gridCol w:w="1408"/>
        <w:gridCol w:w="1440"/>
      </w:tblGrid>
      <w:tr w:rsidR="00CB6CAA">
        <w:tblPrEx>
          <w:tblCellMar>
            <w:top w:w="0" w:type="dxa"/>
            <w:bottom w:w="0" w:type="dxa"/>
          </w:tblCellMar>
        </w:tblPrEx>
        <w:trPr>
          <w:trHeight w:hRule="exact" w:val="61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after="60" w:line="260" w:lineRule="exact"/>
              <w:ind w:left="180"/>
            </w:pPr>
            <w:r>
              <w:rPr>
                <w:rStyle w:val="24"/>
              </w:rPr>
              <w:t>№</w:t>
            </w:r>
          </w:p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before="60" w:line="260" w:lineRule="exact"/>
              <w:ind w:left="180"/>
            </w:pPr>
            <w:r>
              <w:rPr>
                <w:rStyle w:val="24"/>
              </w:rPr>
              <w:t>п/п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260" w:lineRule="exact"/>
              <w:ind w:left="140"/>
            </w:pPr>
            <w:r>
              <w:rPr>
                <w:rStyle w:val="24"/>
              </w:rPr>
              <w:t>Наименование объекта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4"/>
              </w:rPr>
              <w:t>Местоположение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after="60" w:line="260" w:lineRule="exact"/>
              <w:ind w:left="300"/>
            </w:pPr>
            <w:r>
              <w:rPr>
                <w:rStyle w:val="24"/>
              </w:rPr>
              <w:t>Начало</w:t>
            </w:r>
          </w:p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before="60" w:line="260" w:lineRule="exact"/>
              <w:jc w:val="center"/>
            </w:pPr>
            <w:r>
              <w:rPr>
                <w:rStyle w:val="24"/>
              </w:rPr>
              <w:t>работ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after="60" w:line="260" w:lineRule="exact"/>
            </w:pPr>
            <w:r>
              <w:rPr>
                <w:rStyle w:val="24"/>
              </w:rPr>
              <w:t>Окончание</w:t>
            </w:r>
          </w:p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before="60" w:line="260" w:lineRule="exact"/>
              <w:jc w:val="center"/>
            </w:pPr>
            <w:r>
              <w:rPr>
                <w:rStyle w:val="24"/>
              </w:rPr>
              <w:t>работ</w:t>
            </w:r>
          </w:p>
        </w:tc>
      </w:tr>
      <w:tr w:rsidR="00CB6CAA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260" w:lineRule="exact"/>
              <w:ind w:left="180"/>
            </w:pPr>
            <w:r>
              <w:rPr>
                <w:rStyle w:val="24"/>
              </w:rPr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260" w:lineRule="exact"/>
              <w:ind w:left="140"/>
            </w:pPr>
            <w:r>
              <w:rPr>
                <w:rStyle w:val="24"/>
              </w:rPr>
              <w:t>ТМН-2500/110/10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Брянская обл., Жуковский р-н,</w:t>
            </w:r>
          </w:p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</w:pPr>
            <w:r>
              <w:rPr>
                <w:rStyle w:val="24"/>
              </w:rPr>
              <w:t>с. Летошники</w:t>
            </w:r>
          </w:p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</w:pPr>
            <w:r>
              <w:rPr>
                <w:rStyle w:val="25"/>
              </w:rPr>
              <w:t xml:space="preserve">ПС 110 </w:t>
            </w:r>
            <w:r>
              <w:rPr>
                <w:rStyle w:val="25"/>
                <w:lang w:val="en-US" w:eastAsia="en-US" w:bidi="en-US"/>
              </w:rPr>
              <w:t>kJB</w:t>
            </w:r>
            <w:r w:rsidRPr="00933690">
              <w:rPr>
                <w:rStyle w:val="24"/>
                <w:lang w:eastAsia="en-US" w:bidi="en-US"/>
              </w:rPr>
              <w:t xml:space="preserve"> </w:t>
            </w:r>
            <w:r>
              <w:rPr>
                <w:rStyle w:val="24"/>
              </w:rPr>
              <w:t>Летошники, Т-2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302" w:lineRule="exact"/>
            </w:pPr>
            <w:r>
              <w:rPr>
                <w:rStyle w:val="24"/>
              </w:rPr>
              <w:t>Июнь 2021 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AA" w:rsidRDefault="006C2B0E">
            <w:pPr>
              <w:pStyle w:val="21"/>
              <w:framePr w:w="10105" w:wrap="notBeside" w:vAnchor="text" w:hAnchor="text" w:xAlign="center" w:y="1"/>
              <w:shd w:val="clear" w:color="auto" w:fill="auto"/>
              <w:spacing w:line="302" w:lineRule="exact"/>
            </w:pPr>
            <w:r>
              <w:rPr>
                <w:rStyle w:val="24"/>
              </w:rPr>
              <w:t>Август 2021 г.</w:t>
            </w:r>
          </w:p>
        </w:tc>
      </w:tr>
    </w:tbl>
    <w:p w:rsidR="00CB6CAA" w:rsidRDefault="00CB6CAA">
      <w:pPr>
        <w:framePr w:w="10105" w:wrap="notBeside" w:vAnchor="text" w:hAnchor="text" w:xAlign="center" w:y="1"/>
        <w:rPr>
          <w:sz w:val="2"/>
          <w:szCs w:val="2"/>
        </w:rPr>
      </w:pPr>
    </w:p>
    <w:p w:rsidR="00CB6CAA" w:rsidRDefault="00CB6CAA">
      <w:pPr>
        <w:rPr>
          <w:sz w:val="2"/>
          <w:szCs w:val="2"/>
        </w:rPr>
      </w:pP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861"/>
        </w:tabs>
        <w:spacing w:before="240"/>
        <w:ind w:left="3360"/>
      </w:pPr>
      <w:bookmarkStart w:id="3" w:name="bookmark4"/>
      <w:r>
        <w:t>Технические требования.</w:t>
      </w:r>
      <w:bookmarkEnd w:id="3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295" w:lineRule="exact"/>
        <w:jc w:val="both"/>
      </w:pPr>
      <w:r>
        <w:t>Детализация объемов работ представлена в Приложении к ТЗ.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87"/>
        </w:tabs>
        <w:spacing w:line="295" w:lineRule="exact"/>
        <w:jc w:val="both"/>
      </w:pPr>
      <w:r>
        <w:t xml:space="preserve">Основные нормативно-технические </w:t>
      </w:r>
      <w:r>
        <w:t>документы (НТД) и нормативно-правовые акты (ППА), определяющие требования к работе подрядной организации: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1078"/>
        </w:tabs>
        <w:spacing w:line="295" w:lineRule="exact"/>
        <w:ind w:firstLine="820"/>
        <w:jc w:val="both"/>
      </w:pPr>
      <w:r>
        <w:t>требования действующего законодательства Российской Федерации;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81"/>
        </w:tabs>
        <w:spacing w:line="295" w:lineRule="exact"/>
        <w:ind w:firstLine="820"/>
        <w:jc w:val="both"/>
      </w:pPr>
      <w:r>
        <w:t>Правила организации технического обслуживания и ремонта объектов электроэнергетики, утв</w:t>
      </w:r>
      <w:r>
        <w:t>ержденные приказом Минэнерго России от 25.10.2017 № 1013;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line="295" w:lineRule="exact"/>
        <w:ind w:firstLine="820"/>
        <w:jc w:val="both"/>
      </w:pPr>
      <w:r>
        <w:t>Правила технической эксплуатации электрических станций и сетей Российской Федерации (СО 153-34.20.501-2003 (РД 34.20.501-95));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85"/>
        </w:tabs>
        <w:spacing w:line="295" w:lineRule="exact"/>
        <w:ind w:firstLine="820"/>
        <w:jc w:val="both"/>
      </w:pPr>
      <w:r>
        <w:t>Правила по охране труда при эксплуатации электроустановок (утв. Приказо</w:t>
      </w:r>
      <w:r>
        <w:t xml:space="preserve">м Минтруда России от 24.07.2013 № 328н (в ред. Приказа Минтруда России от 19.02.2016 № </w:t>
      </w:r>
      <w:r>
        <w:rPr>
          <w:rStyle w:val="212pt"/>
        </w:rPr>
        <w:t>74н));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1085"/>
        </w:tabs>
        <w:spacing w:line="295" w:lineRule="exact"/>
        <w:ind w:firstLine="820"/>
        <w:jc w:val="both"/>
      </w:pPr>
      <w:r>
        <w:t>Правила устройства электроустановок (действующее издание);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74"/>
        </w:tabs>
        <w:spacing w:line="295" w:lineRule="exact"/>
        <w:ind w:firstLine="820"/>
        <w:jc w:val="both"/>
      </w:pPr>
      <w:r>
        <w:t xml:space="preserve">Правила по охране труда при работе па высоте (2-е издание, исправленное /Утв. приказом Министерства </w:t>
      </w:r>
      <w:r>
        <w:t>труда и социальной защиты РФ № 155н от 28 марта 2014 г., ред. от 17.06.2015 № 383н);</w:t>
      </w:r>
    </w:p>
    <w:p w:rsidR="00933690" w:rsidRDefault="006C2B0E" w:rsidP="00933690">
      <w:pPr>
        <w:pStyle w:val="21"/>
        <w:numPr>
          <w:ilvl w:val="0"/>
          <w:numId w:val="2"/>
        </w:numPr>
        <w:shd w:val="clear" w:color="auto" w:fill="auto"/>
        <w:tabs>
          <w:tab w:val="left" w:pos="974"/>
        </w:tabs>
        <w:spacing w:line="270" w:lineRule="exact"/>
        <w:ind w:firstLine="820"/>
        <w:jc w:val="both"/>
      </w:pPr>
      <w:r>
        <w:t>Правила устройства и безопасной эксплуатации грузоподъёмных кранов (ПБ 10- 382-00);</w:t>
      </w:r>
    </w:p>
    <w:p w:rsidR="00CB6CAA" w:rsidRDefault="006C2B0E" w:rsidP="00933690">
      <w:pPr>
        <w:pStyle w:val="21"/>
        <w:numPr>
          <w:ilvl w:val="0"/>
          <w:numId w:val="2"/>
        </w:numPr>
        <w:shd w:val="clear" w:color="auto" w:fill="auto"/>
        <w:tabs>
          <w:tab w:val="left" w:pos="974"/>
        </w:tabs>
        <w:spacing w:line="270" w:lineRule="exact"/>
        <w:ind w:firstLine="820"/>
        <w:jc w:val="both"/>
      </w:pPr>
      <w:r>
        <w:t>Правила по охране труда на автомобильном транспорте (утв. Приказом</w:t>
      </w:r>
      <w:r w:rsidR="00933690">
        <w:t xml:space="preserve"> </w:t>
      </w:r>
      <w:r>
        <w:t xml:space="preserve">Минтруда России от </w:t>
      </w:r>
      <w:r>
        <w:t>06.02.2018 № 59н);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51"/>
        </w:tabs>
        <w:spacing w:line="295" w:lineRule="exact"/>
        <w:ind w:firstLine="760"/>
        <w:jc w:val="both"/>
      </w:pPr>
      <w:r>
        <w:t>Правила по охране труда при работе с инструментом и приспособлениями (утв. Приказом Минтруда России от 17.08.2015 № 552н);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95"/>
        </w:tabs>
        <w:spacing w:line="295" w:lineRule="exact"/>
        <w:ind w:firstLine="760"/>
        <w:jc w:val="both"/>
      </w:pPr>
      <w:r>
        <w:t>Объём и нормы испытаний электрооборудования (РД 34.45-51.300-97);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55"/>
        </w:tabs>
        <w:spacing w:line="295" w:lineRule="exact"/>
        <w:ind w:firstLine="760"/>
        <w:jc w:val="both"/>
      </w:pPr>
      <w:r>
        <w:t xml:space="preserve">Постановление Правительства РФ от 25.04.2012 № </w:t>
      </w:r>
      <w:r>
        <w:t>390 «О противопожарном режиме» (в ред. Постановлений Правительства РФ от 17.02.2014 № 113, от 23.06.2014 № 581, от 06.03.2015 № 201, от 10.11.2015 № 1213, от 06.04.2016 №&gt; 275, от 18.08.2016 № 807, от 21.03.2017 № 316, с изм., внесенными Решением Верховног</w:t>
      </w:r>
      <w:r>
        <w:t>о Суда РФ от</w:t>
      </w:r>
    </w:p>
    <w:p w:rsidR="00CB6CAA" w:rsidRDefault="006C2B0E">
      <w:pPr>
        <w:pStyle w:val="21"/>
        <w:numPr>
          <w:ilvl w:val="0"/>
          <w:numId w:val="3"/>
        </w:numPr>
        <w:shd w:val="clear" w:color="auto" w:fill="auto"/>
        <w:tabs>
          <w:tab w:val="left" w:pos="1279"/>
        </w:tabs>
        <w:spacing w:line="295" w:lineRule="exact"/>
        <w:jc w:val="both"/>
      </w:pPr>
      <w:r>
        <w:lastRenderedPageBreak/>
        <w:t>№ АКПИ16-607);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44"/>
        </w:tabs>
        <w:spacing w:line="295" w:lineRule="exact"/>
        <w:ind w:firstLine="760"/>
        <w:jc w:val="both"/>
      </w:pPr>
      <w:r>
        <w:t>Правила пожарной безопасности в электросетевом комплексе ПАО «Россети» (СТО 34.01-27.1-001-2014);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95"/>
        </w:tabs>
        <w:spacing w:line="295" w:lineRule="exact"/>
        <w:ind w:firstLine="760"/>
        <w:jc w:val="both"/>
      </w:pPr>
      <w:r>
        <w:t>Инструкции заводов изготовителей на применяемое оборудование;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95"/>
        </w:tabs>
        <w:spacing w:line="295" w:lineRule="exact"/>
        <w:ind w:firstLine="760"/>
        <w:jc w:val="both"/>
      </w:pPr>
      <w:r>
        <w:t>ГОСТ 2.602-95 «Единая система конструкторской документации»;</w:t>
      </w:r>
    </w:p>
    <w:p w:rsidR="00CB6CAA" w:rsidRDefault="006C2B0E">
      <w:pPr>
        <w:pStyle w:val="21"/>
        <w:shd w:val="clear" w:color="auto" w:fill="auto"/>
        <w:spacing w:line="295" w:lineRule="exact"/>
        <w:ind w:firstLine="1160"/>
      </w:pPr>
      <w:r>
        <w:t>Инструк</w:t>
      </w:r>
      <w:r>
        <w:t>ция по оформлению приемо-сдаточной документации по электромонтажным работам И 1.13-07;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95"/>
        </w:tabs>
        <w:spacing w:line="295" w:lineRule="exact"/>
        <w:ind w:firstLine="760"/>
        <w:jc w:val="both"/>
      </w:pPr>
      <w:r>
        <w:t>Трансформаторы силовые. Общие технические условия (ГОСТ 11677-85);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55"/>
        </w:tabs>
        <w:spacing w:line="295" w:lineRule="exact"/>
        <w:ind w:firstLine="760"/>
        <w:jc w:val="both"/>
      </w:pPr>
      <w:r>
        <w:t>Трансформаторы силовые масляные общего назначения. Общие технические условия на капитальный ремонт (СО</w:t>
      </w:r>
      <w:r>
        <w:t xml:space="preserve"> 34-38-20217-2005);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19"/>
        </w:tabs>
        <w:spacing w:line="295" w:lineRule="exact"/>
        <w:ind w:firstLine="760"/>
        <w:jc w:val="both"/>
      </w:pPr>
      <w:r>
        <w:t xml:space="preserve">Типовая технологическая инструкция. Трансформаторы классов напряжения 110-1150 кВ мощностью 80 </w:t>
      </w:r>
      <w:r>
        <w:rPr>
          <w:lang w:val="en-US" w:eastAsia="en-US" w:bidi="en-US"/>
        </w:rPr>
        <w:t xml:space="preserve">MBA </w:t>
      </w:r>
      <w:r>
        <w:t>и более. Капитальный ремонт (СО 34.46.605-2005);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48"/>
        </w:tabs>
        <w:spacing w:line="295" w:lineRule="exact"/>
        <w:ind w:firstLine="760"/>
        <w:jc w:val="both"/>
      </w:pPr>
      <w:r>
        <w:t xml:space="preserve">Трансформаторы силовые масляные. Нормы расхода материалов для ремонта (СО </w:t>
      </w:r>
      <w:r>
        <w:t>34.10.396-2005);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48"/>
        </w:tabs>
        <w:spacing w:line="295" w:lineRule="exact"/>
        <w:ind w:firstLine="760"/>
        <w:jc w:val="both"/>
      </w:pPr>
      <w:r>
        <w:t>Трансформаторы силовые масляные. Нормы времени на капитальный ремонт (СО 34.46.615-2006);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48"/>
        </w:tabs>
        <w:spacing w:line="295" w:lineRule="exact"/>
        <w:ind w:firstLine="760"/>
        <w:jc w:val="both"/>
      </w:pPr>
      <w:r>
        <w:t>Регламент управления фирменным стилем ПАО «МРСК Центра» (утв. решением Совета директоров ПАО «МРСК Центра» протокол от 16.10.2015 № 21/15);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955"/>
        </w:tabs>
        <w:spacing w:line="295" w:lineRule="exact"/>
        <w:ind w:firstLine="760"/>
        <w:jc w:val="both"/>
      </w:pPr>
      <w:r>
        <w:t xml:space="preserve">Стандарт </w:t>
      </w:r>
      <w:r>
        <w:t>СТО БГ1 10.3/01-01/2009. Требования к диспетчерским наименованиям ЛЭП, оборудования и устройств электросетевого комплекса ПАО «МРСК Центра»;</w:t>
      </w:r>
    </w:p>
    <w:p w:rsidR="00CB6CAA" w:rsidRDefault="006C2B0E">
      <w:pPr>
        <w:pStyle w:val="21"/>
        <w:shd w:val="clear" w:color="auto" w:fill="auto"/>
        <w:spacing w:line="295" w:lineRule="exact"/>
        <w:ind w:firstLine="1160"/>
      </w:pPr>
      <w:r>
        <w:t xml:space="preserve">Рабочая инструкция РИ БП 10.3/02-01/2010. Принципы нанесения диспетчерских наименований на объекты электросетевого </w:t>
      </w:r>
      <w:r>
        <w:t>хозяйства;</w:t>
      </w:r>
    </w:p>
    <w:p w:rsidR="00CB6CAA" w:rsidRDefault="006C2B0E">
      <w:pPr>
        <w:pStyle w:val="21"/>
        <w:shd w:val="clear" w:color="auto" w:fill="auto"/>
        <w:spacing w:after="240" w:line="295" w:lineRule="exact"/>
        <w:jc w:val="both"/>
      </w:pPr>
      <w:r>
        <w:t>- Иные нормативно-технические документы, соблюдение требований которых необходимо для безопасного проведения работ в соответствие с предметом конкурса.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601"/>
        </w:tabs>
        <w:ind w:left="3180"/>
      </w:pPr>
      <w:bookmarkStart w:id="4" w:name="bookmark5"/>
      <w:r>
        <w:t>Требования к Подрядчику.</w:t>
      </w:r>
      <w:bookmarkEnd w:id="4"/>
    </w:p>
    <w:p w:rsidR="00CB6CAA" w:rsidRDefault="006C2B0E">
      <w:pPr>
        <w:pStyle w:val="21"/>
        <w:shd w:val="clear" w:color="auto" w:fill="auto"/>
        <w:spacing w:line="295" w:lineRule="exact"/>
        <w:ind w:firstLine="600"/>
        <w:jc w:val="both"/>
      </w:pPr>
      <w:r>
        <w:t xml:space="preserve">Для участия в конкурсе Подрядчик должен соответствовать требованиям </w:t>
      </w:r>
      <w:r>
        <w:t>Приложения № 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 9 «Конкурсная документация открытого одноэтапного конкурса» к «Единому стандарту закупо</w:t>
      </w:r>
      <w:r>
        <w:t>к ПАО «Россети» (Положению о закупке)» (утв. решением Совета директоров ПАО «Россети» протокол от 30.10.2015 № 206 (в редакции протоколов от 19.08.2016 № 239, от 08.11.2016 № 244, от 16.12.2016 № 247, от</w:t>
      </w:r>
    </w:p>
    <w:p w:rsidR="00CB6CAA" w:rsidRDefault="006C2B0E">
      <w:pPr>
        <w:pStyle w:val="21"/>
        <w:numPr>
          <w:ilvl w:val="0"/>
          <w:numId w:val="4"/>
        </w:numPr>
        <w:shd w:val="clear" w:color="auto" w:fill="auto"/>
        <w:tabs>
          <w:tab w:val="left" w:pos="1283"/>
        </w:tabs>
        <w:spacing w:line="295" w:lineRule="exact"/>
        <w:jc w:val="both"/>
      </w:pPr>
      <w:r>
        <w:t>№ 265, от 31.05.2017 № 269).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205"/>
        </w:tabs>
        <w:ind w:left="2780"/>
      </w:pPr>
      <w:bookmarkStart w:id="5" w:name="bookmark6"/>
      <w:r>
        <w:t>Требования к выполнению</w:t>
      </w:r>
      <w:r>
        <w:t xml:space="preserve"> работ.</w:t>
      </w:r>
      <w:bookmarkEnd w:id="5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58"/>
        </w:tabs>
        <w:spacing w:line="295" w:lineRule="exact"/>
        <w:jc w:val="both"/>
      </w:pPr>
      <w:r>
        <w:t>Работы выполняются в соответствие с требованиями НТД (п. 3.2 ТЗ), в соответствии со сметным расчётом разработанным Подрядчиком и согласованным Заказчиком, в объеме и сроки, предусмотренные в данном ТЗ, в соответствии с графиком, являющимся неотъемл</w:t>
      </w:r>
      <w:r>
        <w:t>емой частью договора и сдать результат Работ Заказчику в состоянии, пригодном для его нормальной эксплуатации. Изменение сроков и объемов выполнения работ по отдельным объектам может быть осуществлено</w:t>
      </w:r>
    </w:p>
    <w:p w:rsidR="00CB6CAA" w:rsidRDefault="006C2B0E">
      <w:pPr>
        <w:pStyle w:val="21"/>
        <w:shd w:val="clear" w:color="auto" w:fill="auto"/>
        <w:spacing w:line="295" w:lineRule="exact"/>
        <w:jc w:val="both"/>
      </w:pPr>
      <w:r>
        <w:t>Подрядчиком только по письменному согласованию с Заказч</w:t>
      </w:r>
      <w:r>
        <w:t>иком, путем заключения дополнительного соглашения к договору.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До начала работ Подрядчик совместно с Заказчиком проводит уточнение объёмов работ, предстоящих к выполнению, при этом допускается корректировка объёмов работ в рамках стоимости заключенного дого</w:t>
      </w:r>
      <w:r>
        <w:t>вора.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Ремонтные работы должны быть организованы в соответствии с разработанным Подрядчиком ППР (проектом производства работ), или технологическими картами с учётом всех требований предъявляемым к ним. ППР и технологические карты согласовываются с Заказчико</w:t>
      </w:r>
      <w:r>
        <w:t xml:space="preserve">м. Подрядчик несет ответственность перед Заказчиком за </w:t>
      </w:r>
      <w:r>
        <w:lastRenderedPageBreak/>
        <w:t>допущенные отступления от требований, предусмотренных в технической документации и в обязательных для Сторон строительных нормах и правилах. Подрядчик не несет ответственности за допущенные им без согл</w:t>
      </w:r>
      <w:r>
        <w:t>асия Заказчика мелкие отступления от технической документации, если докажет, что они не повлияли на качество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В объем выполняемых работ входит: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доставка на место производства работ, оборудования, материалов, техники, инструментов и персонала;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погрузо</w:t>
      </w:r>
      <w:r>
        <w:t>-разгрузочные работы;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необходимый комплекс испытаний;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8"/>
        </w:tabs>
        <w:spacing w:line="295" w:lineRule="exact"/>
        <w:jc w:val="both"/>
      </w:pPr>
      <w:r>
        <w:t>необходимый комплекс ремонта в соответствии с действующими циркулярами и указаниями заводских инструкций по выполнению ремонта;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покраска трансформаторов;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нанесение диспетчерских наименований;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12"/>
        </w:tabs>
        <w:spacing w:line="295" w:lineRule="exact"/>
        <w:jc w:val="both"/>
      </w:pPr>
      <w:r>
        <w:t>обеспечение сохранности новых и демонтированных материалов и оборудования до завершения работ;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5"/>
        </w:tabs>
        <w:spacing w:line="295" w:lineRule="exact"/>
        <w:jc w:val="both"/>
      </w:pPr>
      <w:r>
        <w:t>наведение эксплуатационного порядка и вывоз используемых материалов и оборудования после завершения работ;</w:t>
      </w:r>
    </w:p>
    <w:p w:rsidR="00CB6CAA" w:rsidRDefault="006C2B0E">
      <w:pPr>
        <w:pStyle w:val="21"/>
        <w:numPr>
          <w:ilvl w:val="0"/>
          <w:numId w:val="2"/>
        </w:numPr>
        <w:shd w:val="clear" w:color="auto" w:fill="auto"/>
        <w:tabs>
          <w:tab w:val="left" w:pos="201"/>
        </w:tabs>
        <w:spacing w:line="295" w:lineRule="exact"/>
        <w:jc w:val="both"/>
      </w:pPr>
      <w:r>
        <w:t>утилизация отработанных материалов (силикагеля и т.д.)</w:t>
      </w:r>
      <w:r>
        <w:t>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Приемку, разгрузку и складирование прибывающих на Объект материалов и оборудования, предусмотренных объёмами работ осуществляет Подрядчик.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Ответственность за сохранность всех поставленных материалов и оборудования до полного завершения работ (включая воз</w:t>
      </w:r>
      <w:r>
        <w:t>можный период времени, в течение которого Подрядчик будет устранять выявленные в ходе приемки недостатки, демонтировать временные сооружения, а также вывозить находящуюся на территории строительной площадки строительную технику и оборудование) несет Подряд</w:t>
      </w:r>
      <w:r>
        <w:t>чик.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8"/>
        </w:tabs>
        <w:spacing w:line="295" w:lineRule="exact"/>
        <w:jc w:val="both"/>
      </w:pPr>
      <w:r>
        <w:t>Номенклатура применяемого оборудования и материалов должна соответствовать Положению ПАО «Россети» «О единой технической политике в электросетевом комплексе» и согласовывается с Заказчиком и определяется в соответствии с дефектными актами (ведомостями</w:t>
      </w:r>
      <w:r>
        <w:t xml:space="preserve"> объёмов работ), предоставленными Заказчиком.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52"/>
        </w:tabs>
        <w:spacing w:line="295" w:lineRule="exact"/>
        <w:jc w:val="both"/>
      </w:pPr>
      <w:r>
        <w:t>Все поставляемые Подрядчиком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</w:t>
      </w:r>
      <w:r>
        <w:t>ности. Копии перечисленных документов передаются Заказчику до начала работ для получения разрешения на их использование. Все поставляемое Подрядчиком оборудование должно соответствовать требованием «Правил устройства электроустановок» (ПУЭ действующее изда</w:t>
      </w:r>
      <w:r>
        <w:t>ние), нормативно-технической документации ПАО «Россети» и ГОСТ.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90"/>
        </w:tabs>
        <w:spacing w:line="295" w:lineRule="exact"/>
        <w:jc w:val="both"/>
      </w:pPr>
      <w:r>
        <w:t>Необходимые для ремонта материалы и оборудование Подрядчик закупает и доставляет за счет собственных средств, учитывая их стоимость в общей стоимости ремонта.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30"/>
        </w:tabs>
        <w:spacing w:line="295" w:lineRule="exact"/>
        <w:jc w:val="both"/>
      </w:pPr>
      <w:r>
        <w:t>Сторона, предоставившая материалы</w:t>
      </w:r>
      <w:r>
        <w:t>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</w:t>
      </w:r>
      <w:r>
        <w:t>пользование материалов бывших в употреблении запрещено.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6"/>
        </w:tabs>
        <w:spacing w:line="295" w:lineRule="exact"/>
        <w:jc w:val="both"/>
      </w:pPr>
      <w:r>
        <w:t>При демонтаже деталей и узлов Подрядчик обязан обеспечить их сохранность и передачу Заказчику в надлежащем состоянии.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37"/>
        </w:tabs>
        <w:spacing w:line="295" w:lineRule="exact"/>
        <w:jc w:val="both"/>
      </w:pPr>
      <w:r>
        <w:t xml:space="preserve">Подрядчик и привлеченные им субподрядные организации в период выполнения работ </w:t>
      </w:r>
      <w:r>
        <w:t xml:space="preserve">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</w:t>
      </w:r>
      <w:r>
        <w:lastRenderedPageBreak/>
        <w:t xml:space="preserve">безопасности возлагается </w:t>
      </w:r>
      <w:r>
        <w:t>на Подрядчика.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94"/>
        </w:tabs>
        <w:spacing w:line="295" w:lineRule="exact"/>
        <w:jc w:val="both"/>
      </w:pPr>
      <w:r>
        <w:t>Подрядчик обязан провести контрольные испытания ремонтируемого оборудования в объёме, предусмотренном РД 34.45-51.300-97 как до, так и после проведения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94"/>
        </w:tabs>
        <w:spacing w:line="295" w:lineRule="exact"/>
        <w:jc w:val="both"/>
      </w:pPr>
      <w:r>
        <w:t>На отремонтированном оборудовании должны быть нанесены новые диспетчерские наимено</w:t>
      </w:r>
      <w:r>
        <w:t>вания.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40"/>
        </w:tabs>
        <w:spacing w:line="295" w:lineRule="exact"/>
        <w:jc w:val="both"/>
      </w:pPr>
      <w:r>
        <w:t>Подрядчик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94"/>
        </w:tabs>
        <w:spacing w:line="295" w:lineRule="exact"/>
        <w:jc w:val="both"/>
      </w:pPr>
      <w:r>
        <w:t>Подрядчик, а</w:t>
      </w:r>
      <w:r>
        <w:t xml:space="preserve">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</w:t>
      </w:r>
      <w:r>
        <w:t>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6"/>
        </w:tabs>
        <w:spacing w:line="295" w:lineRule="exact"/>
        <w:jc w:val="both"/>
      </w:pPr>
      <w:r>
        <w:t>Подрядчик ведет исполнительную документацию на протяжении всего периода выполнени</w:t>
      </w:r>
      <w:r>
        <w:t>я работ и передаёт её Заказчику в полном объёме после завершения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2"/>
        </w:tabs>
        <w:spacing w:line="295" w:lineRule="exact"/>
        <w:jc w:val="both"/>
      </w:pPr>
      <w:r>
        <w:t>В случае необходимости привлечения к выполнению работ субподрядчиков, Подрядчик должен отразить это в переданной Оферте (Приложении к письму о подаче Оферты - Плане распределения объем</w:t>
      </w:r>
      <w:r>
        <w:t>ов выполнения работ между генеральным подрядчиком и субподрядчиками) с указанием перечня привлекаемых Субподрядчиков и распределении выполняемых ими работ.</w:t>
      </w:r>
    </w:p>
    <w:p w:rsidR="00CB6CAA" w:rsidRDefault="006C2B0E">
      <w:pPr>
        <w:pStyle w:val="21"/>
        <w:shd w:val="clear" w:color="auto" w:fill="auto"/>
        <w:spacing w:line="295" w:lineRule="exact"/>
        <w:ind w:firstLine="600"/>
        <w:jc w:val="both"/>
      </w:pPr>
      <w:r>
        <w:t xml:space="preserve">Подрядчик должен письменно информировать Заказчика о заключении договоров субподряда с </w:t>
      </w:r>
      <w:r>
        <w:t>субподрядчиками по мере их заключения. В .информации должен излагаться предмет договора, сроки выполнения работ, наименование и адрес субподрядчика. В договор субподряда должны быть включены соответствующие требования, права и обязанности Субподрядчика, ан</w:t>
      </w:r>
      <w:r>
        <w:t>алогичные требованиям к Подрядчику в договоре между Заказчиком и Подрядчиком.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2"/>
        </w:tabs>
        <w:spacing w:line="295" w:lineRule="exact"/>
        <w:jc w:val="both"/>
      </w:pPr>
      <w:r>
        <w:t>Подрядчик не имеет права передавать субподрядным организациям объем работ, составляющий более 25 % (двадцати пяти процентов) от общей стоимости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6"/>
        </w:tabs>
        <w:spacing w:line="295" w:lineRule="exact"/>
        <w:jc w:val="both"/>
      </w:pPr>
      <w:r>
        <w:t>Допуск Подрядчика к выполне</w:t>
      </w:r>
      <w:r>
        <w:t>нию работ, осуществляется в соответствии с «Правилами по охране труда при эксплуатации электроустановок (утв. Приказом Минтруда России от 24.07.2013 № 328н (в ред. Приказа Минтруда России от 19.02.2016 № 74н))», с осуществлением необходимых оперативных пер</w:t>
      </w:r>
      <w:r>
        <w:t>еключений с выполнением организационных и технических мероприятий.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626"/>
        </w:tabs>
        <w:spacing w:after="243"/>
        <w:jc w:val="both"/>
      </w:pPr>
      <w:r>
        <w:t>В случае возникновения обстоятельств, замедляющих ход работ или делающих дальнейшее продолжение работ невозможным, Подрядчик обязан немедленно поставить об этом в известность Заказчика.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048"/>
        </w:tabs>
        <w:ind w:left="2620"/>
      </w:pPr>
      <w:bookmarkStart w:id="6" w:name="bookmark7"/>
      <w:r>
        <w:t>Правила контроля и приемки работ.</w:t>
      </w:r>
      <w:bookmarkEnd w:id="6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69"/>
        </w:tabs>
        <w:spacing w:line="295" w:lineRule="exact"/>
        <w:jc w:val="both"/>
      </w:pPr>
      <w:r>
        <w:t>Заказчик вправе осуществлять контроль и надзор за ходом и качеством выполняемых Работ, соблюдением сроков их выполнения, не вмешиваясь при этом в оперативно - хозяйственную деятельность Подрядчика. Заказчик осуществляет те</w:t>
      </w:r>
      <w:r>
        <w:t>хнический надзор и контроль за соблюдением Подрядчиком Календарного плана выполнения Работ и качества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493"/>
        </w:tabs>
        <w:spacing w:line="295" w:lineRule="exact"/>
        <w:jc w:val="both"/>
      </w:pPr>
      <w:r>
        <w:t>Заказчик вправе осуществлять контроль используемых подрядчиком материалов и оборудования на соответствие их условиям Договора, Проектной документац</w:t>
      </w:r>
      <w:r>
        <w:t>ии и настоящего ТЗ.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69"/>
        </w:tabs>
        <w:spacing w:line="295" w:lineRule="exact"/>
        <w:jc w:val="both"/>
      </w:pPr>
      <w:r>
        <w:t xml:space="preserve">Заказчик вправе контролировать соблюдение требований охраны труда, пожарной безопасности и санитарных правил на рабочих местах Подрядчика, выдавать по </w:t>
      </w:r>
      <w:r>
        <w:lastRenderedPageBreak/>
        <w:t xml:space="preserve">результатам контроля рабочих мест Подрядчика обязательные для исполнения Подрядчиком </w:t>
      </w:r>
      <w:r>
        <w:t>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работы персонала Подрядчика Заказчик незамедлительно извещает об этом руковод</w:t>
      </w:r>
      <w:r>
        <w:t>ство подрядной организации. При отстранении персоналом Заказчика персонала Подрядчика (субподрядчика) от выполнения работ в связи с выявленными грубыми нарушениями правил безопасности, Подрядчик компенсирует соответствующие издержки и убытки, понесенные За</w:t>
      </w:r>
      <w:r>
        <w:t>казчиком.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493"/>
        </w:tabs>
        <w:spacing w:line="295" w:lineRule="exact"/>
        <w:jc w:val="both"/>
      </w:pPr>
      <w:r>
        <w:t>Подрядчик обязан сдать Заказчику работу в полном объеме, в срок, с соблюдением</w:t>
      </w:r>
    </w:p>
    <w:p w:rsidR="00CB6CAA" w:rsidRDefault="006C2B0E">
      <w:pPr>
        <w:pStyle w:val="21"/>
        <w:shd w:val="clear" w:color="auto" w:fill="auto"/>
        <w:tabs>
          <w:tab w:val="left" w:pos="9281"/>
        </w:tabs>
        <w:spacing w:line="295" w:lineRule="exact"/>
        <w:jc w:val="both"/>
      </w:pPr>
      <w:r>
        <w:t>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- приемки</w:t>
      </w:r>
      <w:r>
        <w:t xml:space="preserve"> выполненных работ.</w:t>
      </w:r>
      <w:r>
        <w:tab/>
        <w:t>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69"/>
        </w:tabs>
        <w:spacing w:line="295" w:lineRule="exact"/>
        <w:jc w:val="both"/>
      </w:pPr>
      <w:r>
        <w:t>Заказчик осуществляет приёмку работ на предмет соответствия требованиям действующих НТД, указанных в п.3.2 ТЗ. Подрядчик обязан предоставить оформленные в установленном порядке и подписанные представителями Заказчика и Подрядчика доку</w:t>
      </w:r>
      <w:r>
        <w:t>менты: Акт о приемке выполненных работ, Справку о стоимости выполненных работ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</w:t>
      </w:r>
      <w:r>
        <w:t xml:space="preserve"> законодательством (ст. 168, ст. 169 НК РФ). Подрядчик подтверждает, что формы документов об исполнении им своих обязательств (Акт о приемке выполненных работ, Справка о стоимости выполненных работ и затрат, Акт о приёме-сдаче отремонтированных, реконструи</w:t>
      </w:r>
      <w:r>
        <w:t>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04"/>
        </w:tabs>
        <w:spacing w:line="295" w:lineRule="exact"/>
        <w:jc w:val="both"/>
      </w:pPr>
      <w:r>
        <w:t>Представленная в п 6.5. документация подпис</w:t>
      </w:r>
      <w:r>
        <w:t>ывается только после прохождения отремонтированным оборудованием приемо-сдаточных испытаний под нагрузкой в течение 48 часов.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69"/>
        </w:tabs>
        <w:spacing w:line="295" w:lineRule="exact"/>
        <w:jc w:val="both"/>
      </w:pPr>
      <w:r>
        <w:t>При обнаружении отступлений от требований НТД, ухудшающих результаты работы, и иных недостатков в работе Заказчик обязан заявить о</w:t>
      </w:r>
      <w:r>
        <w:t>б этом Подрядчику и отразить это в Акте сдачи-приёмки выполненных работ с указанием сроков их исправления.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jc w:val="both"/>
      </w:pPr>
      <w:r>
        <w:t>Обнаруженные при приёмке работ отступления и замечания Подрядчик устраняет за свой счёт в сроки, установленные Заказчиком.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jc w:val="both"/>
      </w:pPr>
      <w:r>
        <w:t>Во время выполнения работ,</w:t>
      </w:r>
      <w:r>
        <w:t xml:space="preserve"> а также в пределах гарантийного срока Подрядчик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</w:t>
      </w:r>
      <w:r>
        <w:t>опущенные Подрядчиком при производстве Работ нарушения действующего законодательства, указанного в п. 3.2 ТЗ.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39"/>
        </w:tabs>
        <w:spacing w:after="243"/>
        <w:jc w:val="both"/>
      </w:pPr>
      <w:r>
        <w:t>Подрядчик обязан сдать Заказчику отремонтированный трансформатор в исправном состоянии, готовым к дальнейшей эксплуатации, не требующим проведения</w:t>
      </w:r>
      <w:r>
        <w:t xml:space="preserve"> дополнительных работ.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1345"/>
        </w:tabs>
        <w:ind w:left="780"/>
      </w:pPr>
      <w:bookmarkStart w:id="7" w:name="bookmark8"/>
      <w:r>
        <w:t>Экологические и природоохранные требования при производстве.</w:t>
      </w:r>
      <w:bookmarkEnd w:id="7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Замененные элементы силовых трансформаторов, не пригодные к дальнейшему применению, Подрядчик обязан вывести на свалку.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Металлические элементы (черный и цветной лом) Подряд</w:t>
      </w:r>
      <w:r>
        <w:t>чик сдает Заказчику для утилизации как металлолом.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after="243" w:line="295" w:lineRule="exact"/>
        <w:jc w:val="both"/>
      </w:pPr>
      <w:r>
        <w:t>Окраска отремонтированных объектов производится в соответствии с фирменным стилем ПАО «МРСК Центра».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661"/>
        </w:tabs>
        <w:spacing w:line="292" w:lineRule="exact"/>
        <w:ind w:left="3240"/>
      </w:pPr>
      <w:bookmarkStart w:id="8" w:name="bookmark9"/>
      <w:r>
        <w:lastRenderedPageBreak/>
        <w:t>Сроки выполнения работ.</w:t>
      </w:r>
      <w:bookmarkEnd w:id="8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39"/>
        </w:tabs>
        <w:spacing w:line="292" w:lineRule="exact"/>
        <w:jc w:val="both"/>
      </w:pPr>
      <w:r>
        <w:t>Подрядчик обязан осуществить выполнение работы в сроки, соответствующие утвержде</w:t>
      </w:r>
      <w:r>
        <w:t>нной ремонтной программе филиала ПАО «МРСК-Центра» - «Брянскэнерго», установленные договором о выполнении работ.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739"/>
        </w:tabs>
        <w:spacing w:after="237" w:line="292" w:lineRule="exact"/>
        <w:jc w:val="both"/>
      </w:pPr>
      <w:r>
        <w:t>Сроком окончания выполнения работ является окончание подконтрольной эксплуатации, а для проведения испытаний, получение протоколов.</w:t>
      </w:r>
    </w:p>
    <w:p w:rsidR="00CB6CAA" w:rsidRDefault="006C2B0E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501"/>
        </w:tabs>
        <w:ind w:left="3080"/>
      </w:pPr>
      <w:bookmarkStart w:id="9" w:name="bookmark10"/>
      <w:r>
        <w:t>Гарантийные</w:t>
      </w:r>
      <w:r>
        <w:t xml:space="preserve"> обязательства.</w:t>
      </w:r>
      <w:bookmarkEnd w:id="9"/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Гарантии качества должны распространяться на все Работы, выполненные Подрядчиком. Гарантийный срок Работ устанавливается на срок 3 (три) года от даты подписания Сторонами Акта сдачи-приемки выполненных Работ. В случае если в период действия</w:t>
      </w:r>
      <w:r>
        <w:t xml:space="preserve">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соответетвующий период.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Если в течение гарантийн</w:t>
      </w:r>
      <w:r>
        <w:t>ого срока обнаружатся дефекты, препятствующие нормальной эксплуатации и использованию результата работы, указанного в пункте 2 ТЗ, то Подрядчик обязан их устранить за свой счет и в согласованные с Заказчиком сроки. Для участия в составлении Акта, фиксирующ</w:t>
      </w:r>
      <w:r>
        <w:t>его дефекты, согласования порядка и сроков их устранения Подрядчик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</w:t>
      </w:r>
      <w:r>
        <w:t xml:space="preserve"> период устранения дефектов.</w:t>
      </w:r>
    </w:p>
    <w:p w:rsidR="00CB6CAA" w:rsidRDefault="006C2B0E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</w:t>
      </w:r>
      <w:r>
        <w:t xml:space="preserve"> экспертизы возмещаются Подрядчиком.</w:t>
      </w:r>
    </w:p>
    <w:p w:rsidR="00CB6CAA" w:rsidRDefault="006C2B0E" w:rsidP="00933690">
      <w:pPr>
        <w:pStyle w:val="21"/>
        <w:numPr>
          <w:ilvl w:val="1"/>
          <w:numId w:val="1"/>
        </w:numPr>
        <w:shd w:val="clear" w:color="auto" w:fill="auto"/>
        <w:tabs>
          <w:tab w:val="left" w:pos="531"/>
        </w:tabs>
        <w:spacing w:line="295" w:lineRule="exact"/>
        <w:jc w:val="both"/>
      </w:pPr>
      <w:r>
        <w:t>Если в течение гарантийного срока произойдет повреждение или отключение отремонтированных объектов вследствие возникновения неисправности</w:t>
      </w:r>
      <w:r w:rsidR="00933690">
        <w:t xml:space="preserve">  </w:t>
      </w:r>
      <w:r>
        <w:t>отремонтированного оборудования, Подрядчик в полном объеме возмещает Заказчику и</w:t>
      </w:r>
      <w:r>
        <w:t>ли третьим лицам причиненные убытки.</w:t>
      </w: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933690" w:rsidRDefault="00933690">
      <w:pPr>
        <w:pStyle w:val="40"/>
        <w:shd w:val="clear" w:color="auto" w:fill="auto"/>
        <w:spacing w:before="0"/>
      </w:pPr>
    </w:p>
    <w:p w:rsidR="00CB6CAA" w:rsidRDefault="006C2B0E">
      <w:pPr>
        <w:pStyle w:val="40"/>
        <w:shd w:val="clear" w:color="auto" w:fill="auto"/>
        <w:spacing w:before="0"/>
        <w:sectPr w:rsidR="00CB6CAA">
          <w:headerReference w:type="default" r:id="rId7"/>
          <w:footnotePr>
            <w:numFmt w:val="chicago"/>
            <w:numRestart w:val="eachPage"/>
          </w:footnotePr>
          <w:pgSz w:w="11900" w:h="16840"/>
          <w:pgMar w:top="1165" w:right="449" w:bottom="754" w:left="1345" w:header="0" w:footer="3" w:gutter="0"/>
          <w:cols w:space="720"/>
          <w:noEndnote/>
          <w:titlePg/>
          <w:docGrid w:linePitch="360"/>
        </w:sectPr>
      </w:pPr>
      <w:bookmarkStart w:id="10" w:name="_GoBack"/>
      <w:bookmarkEnd w:id="10"/>
      <w:r>
        <w:t xml:space="preserve">Исп.: Корольков А.В. </w:t>
      </w:r>
      <w:r>
        <w:rPr>
          <w:rStyle w:val="49pt"/>
        </w:rPr>
        <w:t>(</w:t>
      </w:r>
      <w:r>
        <w:rPr>
          <w:rStyle w:val="41"/>
        </w:rPr>
        <w:t>4832</w:t>
      </w:r>
      <w:r>
        <w:rPr>
          <w:rStyle w:val="49pt"/>
        </w:rPr>
        <w:t xml:space="preserve">) </w:t>
      </w:r>
      <w:r>
        <w:rPr>
          <w:rStyle w:val="41"/>
        </w:rPr>
        <w:t>67</w:t>
      </w:r>
      <w:r>
        <w:rPr>
          <w:rStyle w:val="49pt"/>
        </w:rPr>
        <w:t>-</w:t>
      </w:r>
      <w:r>
        <w:rPr>
          <w:rStyle w:val="41"/>
        </w:rPr>
        <w:t>25-64</w:t>
      </w:r>
    </w:p>
    <w:p w:rsidR="00CB6CAA" w:rsidRDefault="006C2B0E">
      <w:pPr>
        <w:pStyle w:val="6"/>
        <w:framePr w:h="166" w:vSpace="389" w:wrap="notBeside" w:hAnchor="margin" w:x="10725" w:y="534"/>
        <w:shd w:val="clear" w:color="auto" w:fill="auto"/>
        <w:spacing w:line="100" w:lineRule="exact"/>
        <w:jc w:val="left"/>
      </w:pPr>
      <w:r>
        <w:lastRenderedPageBreak/>
        <w:t>Наименование и перечень работ</w:t>
      </w:r>
      <w:r>
        <w:footnoteReference w:id="1"/>
      </w:r>
      <w:r>
        <w:t xml:space="preserve"> </w:t>
      </w:r>
      <w:r>
        <w:footnoteReference w:id="2"/>
      </w:r>
    </w:p>
    <w:p w:rsidR="00CB6CAA" w:rsidRDefault="006C2B0E">
      <w:pPr>
        <w:pStyle w:val="50"/>
        <w:shd w:val="clear" w:color="auto" w:fill="auto"/>
        <w:spacing w:line="14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.55pt;margin-top:16.75pt;width:371.15pt;height:205.2pt;z-index:-125829368;mso-wrap-distance-left:5pt;mso-wrap-distance-right:5.4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tblInd w:w="1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06"/>
                    <w:gridCol w:w="1462"/>
                    <w:gridCol w:w="1465"/>
                    <w:gridCol w:w="1930"/>
                    <w:gridCol w:w="709"/>
                    <w:gridCol w:w="652"/>
                  </w:tblGrid>
                  <w:tr w:rsidR="00CB6CA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533"/>
                    </w:trPr>
                    <w:tc>
                      <w:tcPr>
                        <w:tcW w:w="120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Филиал</w:t>
                        </w:r>
                      </w:p>
                    </w:tc>
                    <w:tc>
                      <w:tcPr>
                        <w:tcW w:w="14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62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Наименование участка СПС УВС</w:t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Наименование ПС</w:t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62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Тип (марка) силового трансформатора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</w:pPr>
                        <w:r>
                          <w:rPr>
                            <w:rStyle w:val="2LucidaSansUnicode5pt"/>
                          </w:rPr>
                          <w:t>Мощность,</w:t>
                        </w:r>
                      </w:p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кВА</w:t>
                        </w:r>
                      </w:p>
                    </w:tc>
                    <w:tc>
                      <w:tcPr>
                        <w:tcW w:w="65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58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 xml:space="preserve">Класс </w:t>
                        </w:r>
                        <w:r>
                          <w:rPr>
                            <w:rStyle w:val="2LucidaSansUnicode5pt"/>
                            <w:lang w:val="en-US" w:eastAsia="en-US" w:bidi="en-US"/>
                          </w:rPr>
                          <w:t xml:space="preserve">U, </w:t>
                        </w:r>
                        <w:r>
                          <w:rPr>
                            <w:rStyle w:val="2LucidaSansUnicode5pt"/>
                          </w:rPr>
                          <w:t>кВ</w:t>
                        </w:r>
                      </w:p>
                    </w:tc>
                  </w:tr>
                  <w:tr w:rsidR="00CB6CA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750"/>
                    </w:trPr>
                    <w:tc>
                      <w:tcPr>
                        <w:tcW w:w="120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62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 xml:space="preserve">филиал ПАО "МРСК </w:t>
                        </w:r>
                        <w:r>
                          <w:rPr>
                            <w:rStyle w:val="2LucidaSansUnicode5pt"/>
                          </w:rPr>
                          <w:t>Цсптра"-</w:t>
                        </w:r>
                      </w:p>
                    </w:tc>
                    <w:tc>
                      <w:tcPr>
                        <w:tcW w:w="14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Брянский участок</w:t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</w:pPr>
                        <w:r>
                          <w:rPr>
                            <w:rStyle w:val="2LucidaSansUnicode5pt"/>
                          </w:rPr>
                          <w:t>ПС 110/10 кВ Летошники</w:t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ТМН-2500/11 ОНО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2500</w:t>
                        </w:r>
                      </w:p>
                    </w:tc>
                    <w:tc>
                      <w:tcPr>
                        <w:tcW w:w="65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1 10</w:t>
                        </w:r>
                      </w:p>
                    </w:tc>
                  </w:tr>
                  <w:tr w:rsidR="00CB6CA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13"/>
                    </w:trPr>
                    <w:tc>
                      <w:tcPr>
                        <w:tcW w:w="120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"Брянскэнерго"</w:t>
                        </w:r>
                      </w:p>
                    </w:tc>
                    <w:tc>
                      <w:tcPr>
                        <w:tcW w:w="1462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3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5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B6CA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09"/>
                    </w:trPr>
                    <w:tc>
                      <w:tcPr>
                        <w:tcW w:w="606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CB6CAA" w:rsidRDefault="006C2B0E">
                        <w:pPr>
                          <w:pStyle w:val="21"/>
                          <w:shd w:val="clear" w:color="auto" w:fill="auto"/>
                          <w:spacing w:line="100" w:lineRule="exact"/>
                          <w:jc w:val="center"/>
                        </w:pPr>
                        <w:r>
                          <w:rPr>
                            <w:rStyle w:val="2LucidaSansUnicode5pt"/>
                          </w:rPr>
                          <w:t>Итого по филиалу ПАО "МРСК Центра" - "Кряискзнерго" - 1 шт.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CB6CAA" w:rsidRDefault="00CB6CA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00000" w:rsidRDefault="006C2B0E"/>
              </w:txbxContent>
            </v:textbox>
            <w10:wrap type="topAndBottom" anchorx="margin" anchory="margin"/>
          </v:shape>
        </w:pict>
      </w:r>
      <w:r>
        <w:pict>
          <v:shape id="_x0000_s1036" type="#_x0000_t202" style="position:absolute;left:0;text-align:left;margin-left:373.15pt;margin-top:21.35pt;width:52.55pt;height:17.5pt;z-index:-125829367;mso-wrap-distance-left:5pt;mso-wrap-distance-right:5.4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a9"/>
                    <w:shd w:val="clear" w:color="auto" w:fill="auto"/>
                  </w:pPr>
                  <w:r>
                    <w:t xml:space="preserve">№ вышестоящего ТМ в </w:t>
                  </w:r>
                  <w:r>
                    <w:rPr>
                      <w:lang w:val="en-US" w:eastAsia="en-US" w:bidi="en-US"/>
                    </w:rPr>
                    <w:t>SAP*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7" type="#_x0000_t202" style="position:absolute;left:0;text-align:left;margin-left:374.2pt;margin-top:123.85pt;width:50.75pt;height:7.3pt;z-index:-125829366;mso-wrap-distance-left:5pt;mso-wrap-distance-right:5.4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a9"/>
                    <w:shd w:val="clear" w:color="auto" w:fill="auto"/>
                    <w:spacing w:line="100" w:lineRule="exact"/>
                    <w:jc w:val="left"/>
                  </w:pPr>
                  <w:r>
                    <w:rPr>
                      <w:lang w:val="en-US" w:eastAsia="en-US" w:bidi="en-US"/>
                    </w:rPr>
                    <w:t>PS1</w:t>
                  </w:r>
                  <w:r>
                    <w:t>10-001245-02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8" type="#_x0000_t202" style="position:absolute;left:0;text-align:left;margin-left:431.1pt;margin-top:21.05pt;width:57.6pt;height:17.6pt;z-index:-125829365;mso-wrap-distance-left:172.05pt;mso-wrap-distance-right:47.5pt;mso-wrap-distance-bottom:85.5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</w:pPr>
                  <w:r>
                    <w:t>№ единицы</w:t>
                  </w:r>
                  <w:r>
                    <w:br/>
                    <w:t xml:space="preserve">оборудования в </w:t>
                  </w:r>
                  <w:r>
                    <w:rPr>
                      <w:lang w:val="en-US" w:eastAsia="en-US" w:bidi="en-US"/>
                    </w:rPr>
                    <w:t>SAP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9" type="#_x0000_t202" style="position:absolute;left:0;text-align:left;margin-left:492.65pt;margin-top:45pt;width:39.25pt;height:7.1pt;z-index:-125829364;mso-wrap-distance-left:5pt;mso-wrap-distance-right:97pt;mso-wrap-distance-bottom:2.2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1 Слив масла.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0" type="#_x0000_t202" style="position:absolute;left:0;text-align:left;margin-left:682.75pt;margin-top:22.7pt;width:70.55pt;height:7.9pt;z-index:-125829363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Месяц выполнения работ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1" type="#_x0000_t202" style="position:absolute;left:0;text-align:left;margin-left:756.55pt;margin-top:27.7pt;width:37.8pt;height:7.2pt;z-index:-12582936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Примечание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2" type="#_x0000_t202" style="position:absolute;left:0;text-align:left;margin-left:491.6pt;margin-top:54.35pt;width:82.1pt;height:7.2pt;z-index:-125829361;mso-wrap-distance-left:5pt;mso-wrap-distance-right:55.25pt;mso-wrap-distance-bottom:.7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2 Вскрытие трансформатора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3" type="#_x0000_t202" style="position:absolute;left:0;text-align:left;margin-left:491.2pt;margin-top:60.65pt;width:186.5pt;height:24.7pt;z-index:-125829360;mso-wrap-distance-left:5pt;mso-wrap-distance-right:5pt;mso-wrap-distance-bottom:.3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tabs>
                      <w:tab w:val="left" w:leader="underscore" w:pos="3712"/>
                    </w:tabs>
                    <w:spacing w:line="158" w:lineRule="exact"/>
                    <w:jc w:val="both"/>
                  </w:pPr>
                  <w:r>
                    <w:t xml:space="preserve">3 Осмотр и очистка магнитопровода от шлама и грязи, устранение дефектов, проверка и восстановление изоляции, подтяжка стяжных </w:t>
                  </w:r>
                  <w:r>
                    <w:rPr>
                      <w:rStyle w:val="6Exact0"/>
                    </w:rPr>
                    <w:t>шпилек, проверка состояния заземления</w:t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4" type="#_x0000_t202" style="position:absolute;left:0;text-align:left;margin-left:491.6pt;margin-top:84.05pt;width:187.9pt;height:32.6pt;z-index:-125829359;mso-wrap-distance-left:5pt;mso-wrap-distance-right:5pt;mso-wrap-distance-bottom:.7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tabs>
                      <w:tab w:val="left" w:leader="underscore" w:pos="3247"/>
                      <w:tab w:val="left" w:leader="underscore" w:pos="3744"/>
                    </w:tabs>
                    <w:spacing w:line="158" w:lineRule="exact"/>
                    <w:jc w:val="left"/>
                  </w:pPr>
                  <w:r>
                    <w:t>4 Осмотр и очист</w:t>
                  </w:r>
                  <w:r>
                    <w:t xml:space="preserve">ка обмоток и отводов, подпресовка обмоток, проверка и ремонт ярмовой изоляции, ремонт изоляции отводов, подтяжка и ремонт креплений отводов. При необходимости - замена </w:t>
                  </w:r>
                  <w:r>
                    <w:rPr>
                      <w:rStyle w:val="6Exact0"/>
                    </w:rPr>
                    <w:t>обмоток.</w:t>
                  </w:r>
                  <w:r>
                    <w:tab/>
                    <w:t xml:space="preserve"> </w:t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5" type="#_x0000_t202" style="position:absolute;left:0;text-align:left;margin-left:689.2pt;margin-top:37.05pt;width:62.65pt;height:6.25pt;z-index:-125829358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начало окончание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6" type="#_x0000_t202" style="position:absolute;left:0;text-align:left;margin-left:436.5pt;margin-top:124.2pt;width:47.15pt;height:7.1pt;z-index:-125829357;mso-wrap-distance-left:177.45pt;mso-wrap-distance-right:7.9pt;mso-wrap-distance-bottom:90.6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300002034520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7" type="#_x0000_t202" style="position:absolute;left:0;text-align:left;margin-left:491.6pt;margin-top:115.5pt;width:174.25pt;height:16.6pt;z-index:-125829356;mso-wrap-distance-left:5pt;mso-wrap-distance-right:5pt;mso-wrap-distance-bottom:1.1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tabs>
                      <w:tab w:val="left" w:leader="underscore" w:pos="3470"/>
                    </w:tabs>
                    <w:spacing w:line="158" w:lineRule="exact"/>
                    <w:jc w:val="both"/>
                  </w:pPr>
                  <w:r>
                    <w:t xml:space="preserve">3 Испытание масла, очистка, сушка и в случае необходимости </w:t>
                  </w:r>
                  <w:r>
                    <w:rPr>
                      <w:rStyle w:val="6Exact0"/>
                    </w:rPr>
                    <w:t>регенерация или смена масла.</w:t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8" type="#_x0000_t202" style="position:absolute;left:0;text-align:left;margin-left:491.6pt;margin-top:133.2pt;width:53.65pt;height:7.55pt;z-index:-125829355;mso-wrap-distance-left:5pt;mso-wrap-distance-right:83.7pt;mso-wrap-distance-bottom:1.1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6. Сушка изоляции.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9" type="#_x0000_t202" style="position:absolute;left:0;text-align:left;margin-left:491.6pt;margin-top:140.05pt;width:138.95pt;height:16.9pt;z-index:-125829354;mso-wrap-distance-left:5pt;mso-wrap-distance-right:5pt;mso-wrap-distance-bottom:.7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tabs>
                      <w:tab w:val="left" w:leader="underscore" w:pos="2765"/>
                    </w:tabs>
                    <w:jc w:val="both"/>
                  </w:pPr>
                  <w:r>
                    <w:t>7 Замена силикагеля в термосифонном фильтре и ьо</w:t>
                  </w:r>
                  <w:r>
                    <w:rPr>
                      <w:rStyle w:val="6Exact0"/>
                    </w:rPr>
                    <w:t>здухоосушителе</w:t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0" type="#_x0000_t202" style="position:absolute;left:0;text-align:left;margin-left:491.2pt;margin-top:155.85pt;width:186.5pt;height:16.6pt;z-index:-125829353;mso-wrap-distance-left:5pt;mso-wrap-distance-right:5pt;mso-wrap-distance-bottom:.7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tabs>
                      <w:tab w:val="left" w:pos="2092"/>
                      <w:tab w:val="left" w:leader="underscore" w:pos="2718"/>
                    </w:tabs>
                    <w:spacing w:line="158" w:lineRule="exact"/>
                    <w:jc w:val="both"/>
                  </w:pPr>
                  <w:r>
                    <w:t>8 Замена сальника редуктора и уплотнительной резины на крышке бака РПН.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1" type="#_x0000_t202" style="position:absolute;left:0;text-align:left;margin-left:491.2pt;margin-top:170.95pt;width:164.15pt;height:18.6pt;z-index:-12582935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jc w:val="both"/>
                  </w:pPr>
                  <w:r>
                    <w:t xml:space="preserve">б Испытания и измерения изоляции согласно объемам при </w:t>
                  </w:r>
                  <w:r>
                    <w:rPr>
                      <w:rStyle w:val="6Exact0"/>
                    </w:rPr>
                    <w:t>капитальном ремонте трансформаторов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2" type="#_x0000_t202" style="position:absolute;left:0;text-align:left;margin-left:491.6pt;margin-top:186.8pt;width:184.7pt;height:17.15pt;z-index:-125829351;mso-wrap-distance-left:5pt;mso-wrap-distance-right:5pt;mso-wrap-distance-bottom:.5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58" w:lineRule="exact"/>
                    <w:jc w:val="both"/>
                  </w:pPr>
                  <w:r>
                    <w:t>10 Сборка трансформатора с заменой всех уплотнений и заливкой маслом.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3" type="#_x0000_t202" style="position:absolute;left:0;text-align:left;margin-left:493.75pt;margin-top:204.5pt;width:86.75pt;height:7.55pt;z-index:-125829350;mso-wrap-distance-left:5pt;mso-wrap-distance-right:48.4pt;mso-wrap-distance-bottom:9.9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00" w:lineRule="exact"/>
                    <w:jc w:val="left"/>
                  </w:pPr>
                  <w:r>
                    <w:t>I. Испытание трансформатора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4" type="#_x0000_t202" style="position:absolute;left:0;text-align:left;margin-left:687.05pt;margin-top:114.6pt;width:23.4pt;height:17.35pt;z-index:-125829349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58" w:lineRule="exact"/>
                    <w:jc w:val="right"/>
                  </w:pPr>
                  <w:r>
                    <w:t>Июнь 2021 г.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5" type="#_x0000_t202" style="position:absolute;left:0;text-align:left;margin-left:723.4pt;margin-top:114.25pt;width:24.5pt;height:18.05pt;z-index:-125829348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B6CAA" w:rsidRDefault="006C2B0E">
                  <w:pPr>
                    <w:pStyle w:val="6"/>
                    <w:shd w:val="clear" w:color="auto" w:fill="auto"/>
                    <w:spacing w:line="158" w:lineRule="exact"/>
                    <w:jc w:val="both"/>
                  </w:pPr>
                  <w:r>
                    <w:t>Август 2021 г</w:t>
                  </w:r>
                </w:p>
              </w:txbxContent>
            </v:textbox>
            <w10:wrap type="topAndBottom" anchorx="margin" anchory="margin"/>
          </v:shape>
        </w:pict>
      </w:r>
      <w:r>
        <w:t xml:space="preserve">Детализация объемов работ </w:t>
      </w:r>
      <w:r>
        <w:t>по ремонту силовых трансформаторов 3-4-5-6 габаритов филиала ПЛО "МРСК Центра" - "Брянскэнсрго" на 2021 год</w:t>
      </w:r>
    </w:p>
    <w:sectPr w:rsidR="00CB6CAA">
      <w:headerReference w:type="default" r:id="rId8"/>
      <w:pgSz w:w="16840" w:h="11900" w:orient="landscape"/>
      <w:pgMar w:top="1315" w:right="3679" w:bottom="5587" w:left="5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B0E" w:rsidRDefault="006C2B0E">
      <w:r>
        <w:separator/>
      </w:r>
    </w:p>
  </w:endnote>
  <w:endnote w:type="continuationSeparator" w:id="0">
    <w:p w:rsidR="006C2B0E" w:rsidRDefault="006C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B0E" w:rsidRDefault="006C2B0E">
      <w:r>
        <w:separator/>
      </w:r>
    </w:p>
  </w:footnote>
  <w:footnote w:type="continuationSeparator" w:id="0">
    <w:p w:rsidR="006C2B0E" w:rsidRDefault="006C2B0E">
      <w:r>
        <w:continuationSeparator/>
      </w:r>
    </w:p>
  </w:footnote>
  <w:footnote w:id="1">
    <w:p w:rsidR="00CB6CAA" w:rsidRDefault="006C2B0E">
      <w:pPr>
        <w:pStyle w:val="a5"/>
        <w:shd w:val="clear" w:color="auto" w:fill="auto"/>
        <w:spacing w:line="100" w:lineRule="exact"/>
      </w:pPr>
      <w:r>
        <w:footnoteRef/>
      </w:r>
      <w:r>
        <w:t xml:space="preserve"> - В случае ремонта трансформатора из обменного фонда должен быть указ</w:t>
      </w:r>
      <w:r>
        <w:t xml:space="preserve">ан префикс кода ТМ • </w:t>
      </w:r>
      <w:r>
        <w:rPr>
          <w:lang w:val="en-US" w:eastAsia="en-US" w:bidi="en-US"/>
        </w:rPr>
        <w:t>DTMON</w:t>
      </w:r>
    </w:p>
  </w:footnote>
  <w:footnote w:id="2">
    <w:p w:rsidR="00CB6CAA" w:rsidRDefault="006C2B0E">
      <w:pPr>
        <w:pStyle w:val="a5"/>
        <w:shd w:val="clear" w:color="auto" w:fill="auto"/>
        <w:spacing w:line="100" w:lineRule="exact"/>
      </w:pPr>
      <w:r>
        <w:footnoteRef/>
      </w:r>
      <w:r>
        <w:t xml:space="preserve"> - Приводится ориентировочный перечень работ, обтлм ремонта по каждому конкретному грансформатору определяется Подрядчиком после вскрытия трансформатора и согласования с Заказчиком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AA" w:rsidRDefault="006C2B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pt;margin-top:33.55pt;width:4.7pt;height:8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B6CAA" w:rsidRDefault="006C2B0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LucidaSansUnicode11pt"/>
                  </w:rPr>
                  <w:fldChar w:fldCharType="begin"/>
                </w:r>
                <w:r>
                  <w:rPr>
                    <w:rStyle w:val="LucidaSansUnicode11pt"/>
                  </w:rPr>
                  <w:instrText xml:space="preserve"> PAGE \* MERGEFORMAT </w:instrText>
                </w:r>
                <w:r>
                  <w:rPr>
                    <w:rStyle w:val="LucidaSansUnicode11pt"/>
                  </w:rPr>
                  <w:fldChar w:fldCharType="separate"/>
                </w:r>
                <w:r w:rsidR="00933690">
                  <w:rPr>
                    <w:rStyle w:val="LucidaSansUnicode11pt"/>
                    <w:noProof/>
                  </w:rPr>
                  <w:t>6</w:t>
                </w:r>
                <w:r>
                  <w:rPr>
                    <w:rStyle w:val="LucidaSansUnicode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AA" w:rsidRDefault="006C2B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3.5pt;margin-top:49.85pt;width:218.5pt;height:6.8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B6CAA" w:rsidRDefault="006C2B0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Приложение к ТЗ на ремонт силовых трансформаторов 3-4-5-6 габаритов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53F8D"/>
    <w:multiLevelType w:val="multilevel"/>
    <w:tmpl w:val="729ADC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62CC9"/>
    <w:multiLevelType w:val="multilevel"/>
    <w:tmpl w:val="D0AE5CC4"/>
    <w:lvl w:ilvl="0">
      <w:start w:val="2016"/>
      <w:numFmt w:val="decimal"/>
      <w:lvlText w:val="1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35F31"/>
    <w:multiLevelType w:val="multilevel"/>
    <w:tmpl w:val="41DE7818"/>
    <w:lvl w:ilvl="0">
      <w:start w:val="2017"/>
      <w:numFmt w:val="decimal"/>
      <w:lvlText w:val="19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F336F7"/>
    <w:multiLevelType w:val="multilevel"/>
    <w:tmpl w:val="CD249B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6CAA"/>
    <w:rsid w:val="006C2B0E"/>
    <w:rsid w:val="00933690"/>
    <w:rsid w:val="00C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D3FEA89-5B11-4279-A0E1-AA93EFB2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Сноска_"/>
    <w:basedOn w:val="a0"/>
    <w:link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Verdana" w:eastAsia="Verdana" w:hAnsi="Verdana" w:cs="Verdana"/>
      <w:b/>
      <w:bCs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Corbel" w:eastAsia="Corbel" w:hAnsi="Corbel" w:cs="Corbel"/>
      <w:b w:val="0"/>
      <w:bCs w:val="0"/>
      <w:i/>
      <w:iCs/>
      <w:smallCaps w:val="0"/>
      <w:strike w:val="0"/>
      <w:spacing w:val="-50"/>
      <w:sz w:val="34"/>
      <w:szCs w:val="34"/>
      <w:u w:val="none"/>
    </w:rPr>
  </w:style>
  <w:style w:type="character" w:customStyle="1" w:styleId="1TimesNewRoman10pt0pt">
    <w:name w:val="Заголовок №1 + Times New Roman;10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LucidaSansUnicode11pt">
    <w:name w:val="Колонтитул + Lucida Sans Unicode;11 pt"/>
    <w:basedOn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9pt">
    <w:name w:val="Основной текст (4) + 9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LucidaSansUnicode5pt">
    <w:name w:val="Основной текст (2) + Lucida Sans Unicode;5 pt"/>
    <w:basedOn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Exact">
    <w:name w:val="Основной текст (6) Exact"/>
    <w:basedOn w:val="a0"/>
    <w:link w:val="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Exact0">
    <w:name w:val="Основной текст (6) Exact"/>
    <w:basedOn w:val="6Exact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a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before="60" w:line="0" w:lineRule="atLeast"/>
      <w:ind w:hanging="2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  <w:ind w:hanging="280"/>
    </w:pPr>
    <w:rPr>
      <w:rFonts w:ascii="Verdana" w:eastAsia="Verdana" w:hAnsi="Verdana" w:cs="Verdana"/>
      <w:b/>
      <w:bCs/>
      <w:i/>
      <w:iCs/>
      <w:spacing w:val="-20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Corbel" w:eastAsia="Corbel" w:hAnsi="Corbel" w:cs="Corbel"/>
      <w:i/>
      <w:iCs/>
      <w:spacing w:val="-50"/>
      <w:sz w:val="34"/>
      <w:szCs w:val="34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95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96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Подпись к таблице"/>
    <w:basedOn w:val="a"/>
    <w:link w:val="Exact0"/>
    <w:pPr>
      <w:shd w:val="clear" w:color="auto" w:fill="FFFFFF"/>
      <w:spacing w:line="158" w:lineRule="exact"/>
      <w:jc w:val="center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162" w:lineRule="exact"/>
      <w:jc w:val="center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2650</Words>
  <Characters>15108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sahoffice</dc:creator>
  <cp:lastModifiedBy>sahoffice</cp:lastModifiedBy>
  <cp:revision>1</cp:revision>
  <dcterms:created xsi:type="dcterms:W3CDTF">2021-05-24T08:26:00Z</dcterms:created>
  <dcterms:modified xsi:type="dcterms:W3CDTF">2021-05-24T08:28:00Z</dcterms:modified>
</cp:coreProperties>
</file>