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21A" w:rsidRPr="00605CBF" w:rsidRDefault="0022221A" w:rsidP="00556DDF">
      <w:pPr>
        <w:widowControl w:val="0"/>
        <w:ind w:left="6237"/>
        <w:jc w:val="right"/>
      </w:pPr>
      <w:bookmarkStart w:id="0" w:name="_GoBack"/>
      <w:bookmarkEnd w:id="0"/>
      <w:r w:rsidRPr="00605CBF">
        <w:t xml:space="preserve">Приложение </w:t>
      </w:r>
      <w:r>
        <w:t xml:space="preserve">№ </w:t>
      </w:r>
      <w:r w:rsidRPr="00605CBF">
        <w:t>2</w:t>
      </w:r>
      <w:r>
        <w:t xml:space="preserve"> к ТЗ </w:t>
      </w:r>
    </w:p>
    <w:p w:rsidR="0022221A" w:rsidRPr="00605CBF" w:rsidRDefault="0022221A" w:rsidP="0022221A">
      <w:pPr>
        <w:pStyle w:val="a3"/>
        <w:spacing w:after="0"/>
        <w:jc w:val="center"/>
        <w:rPr>
          <w:b/>
          <w:bCs/>
          <w:sz w:val="26"/>
          <w:szCs w:val="26"/>
        </w:rPr>
      </w:pPr>
    </w:p>
    <w:p w:rsidR="0022221A" w:rsidRPr="00605CBF" w:rsidRDefault="002D7611" w:rsidP="0022221A">
      <w:pPr>
        <w:pStyle w:val="a3"/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Перечень сокращений</w:t>
      </w:r>
    </w:p>
    <w:p w:rsidR="0022221A" w:rsidRPr="00605CBF" w:rsidRDefault="0022221A" w:rsidP="0022221A">
      <w:pPr>
        <w:pStyle w:val="a3"/>
        <w:spacing w:after="0"/>
        <w:jc w:val="center"/>
        <w:rPr>
          <w:b/>
          <w:bCs/>
          <w:i/>
          <w:sz w:val="26"/>
          <w:szCs w:val="26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45"/>
        <w:gridCol w:w="7881"/>
      </w:tblGrid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аккумуляторная батарея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АББЭ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аккумуляторная батарея большой энергоемкости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автоматический ввод резерва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АИИС КУЭ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автоматизированная информационно-измерительная система коммерческого учета электроэнергии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АЛАР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ликвидации асинхронного режима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ограничения повышения напряжения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АОПО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ограничения перегрузки оборудования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АОСН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ограничения снижения напряжения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автоматическое повторное включение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АПНУ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предотвращения нарушения устойчивости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автоматизированное рабочее место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АРН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регулирования напряжения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АРЧМ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автоматика регулирования частоты и </w:t>
            </w:r>
            <w:proofErr w:type="spellStart"/>
            <w:r w:rsidRPr="00605CBF">
              <w:rPr>
                <w:iCs/>
                <w:szCs w:val="24"/>
              </w:rPr>
              <w:t>перетоков</w:t>
            </w:r>
            <w:proofErr w:type="spellEnd"/>
            <w:r w:rsidRPr="00605CBF">
              <w:rPr>
                <w:iCs/>
                <w:szCs w:val="24"/>
              </w:rPr>
              <w:t xml:space="preserve"> активной мощности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АСУ 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автоматизированная система управления технологическими процессами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АСТУ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автоматизированная система технологического управления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автотрансформатор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АЧР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автоматическая частотная разгрузка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ВОК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волоконно-оптический кабель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ВОЛС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волоконно-оптическая линия связи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воздушная линия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ВЧ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высокочастотный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ВЧ-связь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высокочастотная связь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ГГС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громкоговорящая связь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ГИЛ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газоизолированная</w:t>
            </w:r>
            <w:proofErr w:type="spellEnd"/>
            <w:r w:rsidRPr="00605CBF">
              <w:rPr>
                <w:iCs/>
                <w:szCs w:val="24"/>
              </w:rPr>
              <w:t xml:space="preserve"> линия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ГКН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Государственный кадастр недвижимости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ГО и ЧС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гражданская оборона и чрезвычайные ситуации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ГОСТ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государственный стандарт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делительная автоматика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ДГУ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дизель-генераторная установка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ДЗЛ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дифференциальная защита линии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ДЗШ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дифференциальная токовая защита шин</w:t>
            </w:r>
          </w:p>
        </w:tc>
      </w:tr>
      <w:tr w:rsidR="00FC5D6D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ДП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диспетчерский пункт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ДЦ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диспетчерский центр ОАО «СО ЕЭС»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дистанционное управление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ЕГРП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Единый государственный реестр прав на недвижимое имущество и сделок с ним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ЕНЭС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единая национальная (общероссийская) электрическая сеть</w:t>
            </w:r>
          </w:p>
        </w:tc>
      </w:tr>
      <w:tr w:rsidR="0022221A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ЕТССЭ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605CBF" w:rsidRDefault="0022221A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единая технологическая сеть связи электроэнергетики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запасные части, инструмент, принадлежности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задание на проектирование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зарядно-</w:t>
            </w:r>
            <w:proofErr w:type="spellStart"/>
            <w:r w:rsidRPr="00605CBF">
              <w:rPr>
                <w:iCs/>
                <w:szCs w:val="24"/>
              </w:rPr>
              <w:t>подзарядный</w:t>
            </w:r>
            <w:proofErr w:type="spellEnd"/>
            <w:r w:rsidRPr="00605CBF">
              <w:rPr>
                <w:iCs/>
                <w:szCs w:val="24"/>
              </w:rPr>
              <w:t xml:space="preserve"> агрегат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закрытое распределительное устройство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исполнительный аппарат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ИБП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источник бесперебойного питания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информационно-измерительный канал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lastRenderedPageBreak/>
              <w:t>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измерительный канал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ИВК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информационно-вычислительный комплекс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ИВКЭ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информационно-вычислительный комплекс электроустановки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информационно-технологические системы (РЗА, АСУ ТП, </w:t>
            </w:r>
            <w:proofErr w:type="spellStart"/>
            <w:r w:rsidRPr="00605CBF">
              <w:rPr>
                <w:iCs/>
                <w:szCs w:val="24"/>
              </w:rPr>
              <w:t>СМиУКЭ</w:t>
            </w:r>
            <w:proofErr w:type="spellEnd"/>
            <w:r w:rsidRPr="00605CBF">
              <w:rPr>
                <w:iCs/>
                <w:szCs w:val="24"/>
              </w:rPr>
              <w:t>, АИИС КУЭ)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инвестиционная программа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ИЭУ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917753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и</w:t>
            </w:r>
            <w:r w:rsidR="00717E96">
              <w:rPr>
                <w:iCs/>
                <w:szCs w:val="24"/>
              </w:rPr>
              <w:t>нтеллектуальное электронное устройство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коммутационные аппараты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КАСУБ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комплексная автоматизированная система управления безопасностью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КВ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коротковолновой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кабельно-воздушная линия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короткое замыкание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контроль качества электроэнергии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контрольно-измерительный прибор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кабельная линия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КПИД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комплексные программы инвестиционной деятельности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комплектное распределительное устройство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КРУН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комплектное распределительное устройство наружного исполнения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КРУЭ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комплектное распределительное устройство с элегазовой изоляцией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комплектная трансформаторная подстанция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качество электроэнергии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ЛВС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локальная вычислительная сеть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ЛКС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линейно-кабельные сооружения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линия электропередачи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МДП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максимально допустимый </w:t>
            </w:r>
            <w:proofErr w:type="spellStart"/>
            <w:r w:rsidRPr="00605CBF">
              <w:rPr>
                <w:iCs/>
                <w:szCs w:val="24"/>
              </w:rPr>
              <w:t>переток</w:t>
            </w:r>
            <w:proofErr w:type="spellEnd"/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методика (метод) измерений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метрологическое обеспечение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микропроцессорный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микропроцессорный комплекс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МХ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метрологическая характеристика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МЭК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Международная электротехническая комиссия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rStyle w:val="a5"/>
                <w:iCs/>
                <w:szCs w:val="24"/>
              </w:rPr>
              <w:t>НП «Совет рынка»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Некоммерческое партнерство «Совет рынка по организации эффективной системы оптовой и розничной торговли электрической энергией и мощностью»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rStyle w:val="a5"/>
                <w:b w:val="0"/>
                <w:iCs/>
                <w:szCs w:val="24"/>
              </w:rPr>
            </w:pPr>
            <w:r w:rsidRPr="00605CBF">
              <w:rPr>
                <w:iCs/>
                <w:szCs w:val="24"/>
              </w:rPr>
              <w:t>НТД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нормативно-технический документ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однофазное автоматическое повторное включение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оптическое волокно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ОВБ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оперативно-выездная бригада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ОВОС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оценка воздействия на окружающую среду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ОГ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отключение генераторов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филиал АО «СО ЕЭС» объединенное диспетчерское управление</w:t>
            </w:r>
          </w:p>
        </w:tc>
      </w:tr>
      <w:tr w:rsidR="00FC5D6D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оперативно-информационный комплекс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ОКГТ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грозозащитный трос со встроенным оптическим кабелем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ОКСН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оптический кабель самонесущий неметаллический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ОКФП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оптический кабель, встроенный в фазный провод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определение места повреждения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отключение нагрузки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оперативный персонал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ограничитель перенапряжения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оперативный постоянный ток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общеподстанционный</w:t>
            </w:r>
            <w:proofErr w:type="spellEnd"/>
            <w:r w:rsidRPr="00605CBF">
              <w:rPr>
                <w:iCs/>
                <w:szCs w:val="24"/>
              </w:rPr>
              <w:t xml:space="preserve"> пункт управления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lastRenderedPageBreak/>
              <w:t>ОРД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организационно-распорядительный документ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открытое распределительное устройство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ОРЭ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оптовый рынок электроэнергии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ОСР-97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карта общего сейсмического районирования</w:t>
            </w:r>
          </w:p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территории Российской Федерации (ОСР-97-А, ОСР-97-В, ОСР-97-С)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ОТР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основные технические решения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окружной узел связи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объединенная энергетическая система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противоаварийная автоматика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ПАС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983DB3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п</w:t>
            </w:r>
            <w:r w:rsidR="00717E96">
              <w:rPr>
                <w:iCs/>
                <w:szCs w:val="24"/>
              </w:rPr>
              <w:t>реобразователь аналоговых сигналов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проектная документация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ПДС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983DB3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п</w:t>
            </w:r>
            <w:r w:rsidR="00717E96">
              <w:rPr>
                <w:iCs/>
                <w:szCs w:val="24"/>
              </w:rPr>
              <w:t>реобразователь дискретных сигналов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проектно-изыскательские работы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программный комплекс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ПНР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пуско-наладочные работы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программное обеспечение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B01AFB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проект организации строительства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подстанция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ПСНП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B01AFB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подстанция нового поколения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переключательный пункт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ПТК 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программно-технический комплекс ССПИ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ПТЭ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правила технической эксплуатации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правила устройства электроустановок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режимная автоматика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регистратор аварийных событий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регистрация аварийных событий и процессов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рабочая документация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филиал АО «СО ЕЭС» региональное диспетчерское управление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релейная защита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РЗА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релейная защита и автоматика (РЗ, СА, ПА, РА, РАСП и ТА)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РПН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szCs w:val="24"/>
              </w:rPr>
              <w:t>у</w:t>
            </w:r>
            <w:r w:rsidRPr="00744813">
              <w:rPr>
                <w:szCs w:val="24"/>
              </w:rPr>
              <w:t>стройство регулирования переключения напряжения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распределительная сетевая компания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распределительное устройство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региональный узел связи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РЩ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релейный щит</w:t>
            </w:r>
          </w:p>
        </w:tc>
      </w:tr>
      <w:tr w:rsidR="00983DB3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3" w:rsidRPr="00983DB3" w:rsidRDefault="00983DB3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РЭС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3" w:rsidRPr="00605CBF" w:rsidRDefault="00983DB3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3" w:rsidRPr="00605CBF" w:rsidRDefault="00983DB3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район электрических сетей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сетевая автоматика</w:t>
            </w:r>
          </w:p>
        </w:tc>
      </w:tr>
      <w:tr w:rsidR="00FC5D6D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СВ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917753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с</w:t>
            </w:r>
            <w:r w:rsidR="00FC5D6D">
              <w:rPr>
                <w:iCs/>
                <w:szCs w:val="24"/>
              </w:rPr>
              <w:t>екционный выключатель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средства диспетчерского и технологического управления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СЕВ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единого времени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средства измерений, включая измерительные системы и измерительные каналы измерительных систем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СКРМ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средства компенсации реактивной мощности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СМПР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мониторинга переходных режимов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СМР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строительно-монтажные работы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СКС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структурированная кабельная система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автоматической диагностики (мониторинга)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СМиУКЭ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мониторинга и управления качеством электроэнергии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собственные нужды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СНЭ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накопления энергии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lastRenderedPageBreak/>
              <w:t>СО (СТО)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стандарт организации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СОТИАССО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обмена технологической информацией с автоматизированной системой системного оператора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оперативного постоянного тока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передачи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СПБ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бесперебойного питания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связи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средства диспетчерского и технологического управления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сбора и передачи информации для решения задач оперативно-диспетчерского и технологического управления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ССПТИ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сбора и передачи неоперативной технологической информации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схема электрическая принципиальная ПС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трансформатор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технологическая автоматика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трехфазное автоматическое повторное включение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территориальные единичные расценки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ТЕРм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территориальные единичные расценки на монтаж оборудования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ТЕРп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территориальные единичные расценки на пусконаладочные работы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телеизмерения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телемеханика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трансформатор напряжения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ТОиР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техническое обслуживание и ремонт 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телесигнализация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трансформатор собственных нужд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Тактовой Сетевой Синхронизации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трансформатор тока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телеуправление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ТХН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трансформатор хозяйственных нужд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УКВ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ультракоротковолновой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УПАСК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устройство передачи аварийных сигналов и команд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УСПД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устройство сбора и передачи данных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ФЭМ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фотоэлектрический модуль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федеральные единичные расценки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ЦРРЛ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цифровая радиорелейная линия связи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ЦУС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центр управления сетями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ЦПС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B01AFB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Цифровая подстанция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ЧАПВ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частотное автоматическое повторное включение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ШРОТ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шкаф распределения оперативного тока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ЩПТ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щит постоянного тока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ЩСН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щит собственных нужд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ЭМС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электромагнитная совместимость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ЭТО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электротехническое оборудование</w:t>
            </w:r>
          </w:p>
        </w:tc>
      </w:tr>
      <w:tr w:rsidR="00FC5D6D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ЭТН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электронный трансформатор напряжения</w:t>
            </w:r>
          </w:p>
        </w:tc>
      </w:tr>
      <w:tr w:rsidR="00FC5D6D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ЭТТ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605CBF" w:rsidRDefault="00FC5D6D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электронный трансформатор тока</w:t>
            </w:r>
          </w:p>
        </w:tc>
      </w:tr>
      <w:tr w:rsidR="00717E96" w:rsidRPr="00B01AFB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  <w:lang w:val="en-US"/>
              </w:rPr>
              <w:t>DECT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  <w:lang w:val="en-US"/>
              </w:rPr>
            </w:pPr>
            <w:r w:rsidRPr="00605CBF">
              <w:rPr>
                <w:iCs/>
                <w:szCs w:val="24"/>
              </w:rPr>
              <w:t>стандарт</w:t>
            </w:r>
            <w:r w:rsidRPr="00605CBF">
              <w:rPr>
                <w:iCs/>
                <w:szCs w:val="24"/>
                <w:lang w:val="en-US"/>
              </w:rPr>
              <w:t xml:space="preserve"> </w:t>
            </w:r>
            <w:r w:rsidRPr="00605CBF">
              <w:rPr>
                <w:iCs/>
                <w:szCs w:val="24"/>
              </w:rPr>
              <w:t>микросотовой</w:t>
            </w:r>
            <w:r w:rsidRPr="00605CBF">
              <w:rPr>
                <w:iCs/>
                <w:szCs w:val="24"/>
                <w:lang w:val="en-US"/>
              </w:rPr>
              <w:t xml:space="preserve"> </w:t>
            </w:r>
            <w:r w:rsidRPr="00605CBF">
              <w:rPr>
                <w:iCs/>
                <w:szCs w:val="24"/>
              </w:rPr>
              <w:t>связи</w:t>
            </w:r>
            <w:r w:rsidRPr="00605CBF">
              <w:rPr>
                <w:iCs/>
                <w:szCs w:val="24"/>
                <w:lang w:val="en-US"/>
              </w:rPr>
              <w:t xml:space="preserve"> (Digital Enhanced Cordless Telecommunication)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DVD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формат цифрового оптического диска хранения данных, цифровой многоцелевой диск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HTV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твердая силиконовая резина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IRR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внутренняя норма доходности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LSR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жидкая силиконовая резина</w:t>
            </w:r>
          </w:p>
        </w:tc>
      </w:tr>
      <w:tr w:rsidR="00717E96" w:rsidRPr="00605CBF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lastRenderedPageBreak/>
              <w:t>NPV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E96" w:rsidRPr="00605CBF" w:rsidRDefault="00717E96" w:rsidP="00717E96">
            <w:pPr>
              <w:pStyle w:val="a3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чистый дисконтированный доход</w:t>
            </w:r>
          </w:p>
        </w:tc>
      </w:tr>
    </w:tbl>
    <w:p w:rsidR="006452F0" w:rsidRDefault="006452F0"/>
    <w:sectPr w:rsidR="006452F0" w:rsidSect="001F7D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1A"/>
    <w:rsid w:val="001455AB"/>
    <w:rsid w:val="001F7D28"/>
    <w:rsid w:val="0022221A"/>
    <w:rsid w:val="002D7611"/>
    <w:rsid w:val="003D2EC9"/>
    <w:rsid w:val="0051302A"/>
    <w:rsid w:val="00556DDF"/>
    <w:rsid w:val="006452F0"/>
    <w:rsid w:val="00717E96"/>
    <w:rsid w:val="00917753"/>
    <w:rsid w:val="00983DB3"/>
    <w:rsid w:val="00A64266"/>
    <w:rsid w:val="00B01AFB"/>
    <w:rsid w:val="00B81A67"/>
    <w:rsid w:val="00D311D6"/>
    <w:rsid w:val="00FC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3606A-CA7C-488F-ABBF-70E6CFD41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"/>
    <w:link w:val="a4"/>
    <w:uiPriority w:val="99"/>
    <w:rsid w:val="0022221A"/>
    <w:pPr>
      <w:widowControl w:val="0"/>
      <w:spacing w:after="120"/>
    </w:pPr>
    <w:rPr>
      <w:szCs w:val="20"/>
    </w:rPr>
  </w:style>
  <w:style w:type="character" w:customStyle="1" w:styleId="a4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0"/>
    <w:link w:val="a3"/>
    <w:uiPriority w:val="99"/>
    <w:rsid w:val="002222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trong"/>
    <w:basedOn w:val="a0"/>
    <w:uiPriority w:val="22"/>
    <w:qFormat/>
    <w:rsid w:val="0022221A"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unhideWhenUsed/>
    <w:rsid w:val="00983DB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3D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1217</Words>
  <Characters>6943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Сергей Леонидович</dc:creator>
  <cp:lastModifiedBy>Филонова Людмила Ивановна</cp:lastModifiedBy>
  <cp:revision>2</cp:revision>
  <dcterms:created xsi:type="dcterms:W3CDTF">2020-03-23T10:35:00Z</dcterms:created>
  <dcterms:modified xsi:type="dcterms:W3CDTF">2020-03-23T10:35:00Z</dcterms:modified>
</cp:coreProperties>
</file>