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F2ADE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письменное согласие Заказчика на уступку, передачу, перепоручение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29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2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7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Исполнитель обязуется возместить Заказчику указанные имущественные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документы, корреспонденция и переписка, а также вся прочая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9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0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1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3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4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F2ADE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F2ADE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7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4A2520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489" w:rsidRDefault="00907489" w:rsidP="002C3C95">
      <w:pPr>
        <w:spacing w:after="0" w:line="240" w:lineRule="auto"/>
      </w:pPr>
      <w:r>
        <w:separator/>
      </w:r>
    </w:p>
  </w:endnote>
  <w:endnote w:type="continuationSeparator" w:id="0">
    <w:p w:rsidR="00907489" w:rsidRDefault="00907489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489" w:rsidRDefault="00907489" w:rsidP="002C3C95">
      <w:pPr>
        <w:spacing w:after="0" w:line="240" w:lineRule="auto"/>
      </w:pPr>
      <w:r>
        <w:separator/>
      </w:r>
    </w:p>
  </w:footnote>
  <w:footnote w:type="continuationSeparator" w:id="0">
    <w:p w:rsidR="00907489" w:rsidRDefault="00907489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17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0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5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6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27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2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9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1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</w:t>
      </w:r>
      <w:proofErr w:type="gramStart"/>
      <w:r w:rsidRPr="00976C47">
        <w:rPr>
          <w:rFonts w:ascii="Times New Roman" w:hAnsi="Times New Roman"/>
          <w:i/>
        </w:rPr>
        <w:t>договор  заключается</w:t>
      </w:r>
      <w:proofErr w:type="gramEnd"/>
      <w:r w:rsidRPr="00976C47">
        <w:rPr>
          <w:rFonts w:ascii="Times New Roman" w:hAnsi="Times New Roman"/>
          <w:i/>
        </w:rPr>
        <w:t xml:space="preserve"> с субъектом МСП.</w:t>
      </w:r>
    </w:p>
  </w:footnote>
  <w:footnote w:id="3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8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>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3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7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2785F"/>
    <w:rsid w:val="00057B86"/>
    <w:rsid w:val="001347E7"/>
    <w:rsid w:val="002B214A"/>
    <w:rsid w:val="002C3C95"/>
    <w:rsid w:val="0033592B"/>
    <w:rsid w:val="003D7538"/>
    <w:rsid w:val="004A2520"/>
    <w:rsid w:val="004B1C80"/>
    <w:rsid w:val="00505F66"/>
    <w:rsid w:val="00541804"/>
    <w:rsid w:val="005841DF"/>
    <w:rsid w:val="008F63DB"/>
    <w:rsid w:val="00907489"/>
    <w:rsid w:val="00910274"/>
    <w:rsid w:val="00976C47"/>
    <w:rsid w:val="009B3504"/>
    <w:rsid w:val="009F2ADE"/>
    <w:rsid w:val="00A82D1E"/>
    <w:rsid w:val="00B5494C"/>
    <w:rsid w:val="00C2460D"/>
    <w:rsid w:val="00C8583C"/>
    <w:rsid w:val="00D93CD6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C12F"/>
  <w15:docId w15:val="{E1A7F81B-09C4-4528-9EEC-C0FF9D6F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6016</Words>
  <Characters>34294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Назаров Антон Николаевич</cp:lastModifiedBy>
  <cp:revision>4</cp:revision>
  <dcterms:created xsi:type="dcterms:W3CDTF">2021-07-27T08:53:00Z</dcterms:created>
  <dcterms:modified xsi:type="dcterms:W3CDTF">2021-07-27T10:07:00Z</dcterms:modified>
</cp:coreProperties>
</file>