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EB3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предельная цена/цена оказываемых Услуг составляет  ______ (________) рублей __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lastRenderedPageBreak/>
        <w:t>Излагается в соответствии с требованиями приказа ПАО «</w:t>
      </w:r>
      <w:r w:rsidR="00EB3A03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r w:rsidR="00EB3A03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r w:rsidR="00EB3A03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 Центр и Приволжье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r w:rsidR="00EB3A03">
        <w:rPr>
          <w:rFonts w:ascii="Times New Roman" w:eastAsia="Calibri" w:hAnsi="Times New Roman" w:cs="Times New Roman"/>
          <w:bCs/>
          <w:i/>
          <w:sz w:val="26"/>
          <w:szCs w:val="26"/>
        </w:rPr>
        <w:t>Россети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B3A03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EB3A0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r w:rsidR="00EB3A03">
        <w:rPr>
          <w:rFonts w:ascii="Times New Roman" w:eastAsia="Calibri" w:hAnsi="Times New Roman" w:cs="Times New Roman"/>
          <w:bCs/>
          <w:i/>
          <w:sz w:val="26"/>
          <w:szCs w:val="26"/>
        </w:rPr>
        <w:t>Россети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B3A03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 xml:space="preserve">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188" w:rsidRDefault="00812188" w:rsidP="002C3C95">
      <w:pPr>
        <w:spacing w:after="0" w:line="240" w:lineRule="auto"/>
      </w:pPr>
      <w:r>
        <w:separator/>
      </w:r>
    </w:p>
  </w:endnote>
  <w:endnote w:type="continuationSeparator" w:id="0">
    <w:p w:rsidR="00812188" w:rsidRDefault="00812188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188" w:rsidRDefault="00812188" w:rsidP="002C3C95">
      <w:pPr>
        <w:spacing w:after="0" w:line="240" w:lineRule="auto"/>
      </w:pPr>
      <w:r>
        <w:separator/>
      </w:r>
    </w:p>
  </w:footnote>
  <w:footnote w:type="continuationSeparator" w:id="0">
    <w:p w:rsidR="00812188" w:rsidRDefault="00812188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A03">
          <w:rPr>
            <w:noProof/>
          </w:rPr>
          <w:t>3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C95"/>
    <w:rsid w:val="00057B86"/>
    <w:rsid w:val="001347E7"/>
    <w:rsid w:val="002B214A"/>
    <w:rsid w:val="002C3C95"/>
    <w:rsid w:val="0033592B"/>
    <w:rsid w:val="003D7538"/>
    <w:rsid w:val="004113D1"/>
    <w:rsid w:val="004638DD"/>
    <w:rsid w:val="00541804"/>
    <w:rsid w:val="005841DF"/>
    <w:rsid w:val="00812188"/>
    <w:rsid w:val="008D4B4E"/>
    <w:rsid w:val="008F63DB"/>
    <w:rsid w:val="00910274"/>
    <w:rsid w:val="00976C47"/>
    <w:rsid w:val="009B3504"/>
    <w:rsid w:val="00A82D1E"/>
    <w:rsid w:val="00B5494C"/>
    <w:rsid w:val="00C8583C"/>
    <w:rsid w:val="00E30C20"/>
    <w:rsid w:val="00EB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67F31-32CC-45C7-B85C-84F68DFE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8928</Words>
  <Characters>50893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Михайличенко Татьяна Викторовна</cp:lastModifiedBy>
  <cp:revision>2</cp:revision>
  <dcterms:created xsi:type="dcterms:W3CDTF">2022-06-27T08:40:00Z</dcterms:created>
  <dcterms:modified xsi:type="dcterms:W3CDTF">2022-06-27T08:40:00Z</dcterms:modified>
</cp:coreProperties>
</file>