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767959">
        <w:rPr>
          <w:rFonts w:ascii="Times New Roman" w:eastAsia="Times New Roman" w:hAnsi="Times New Roman" w:cs="Times New Roman"/>
          <w:sz w:val="24"/>
          <w:szCs w:val="24"/>
          <w:lang w:eastAsia="ru-RU"/>
        </w:rPr>
        <w:t xml:space="preserve">Приложение </w:t>
      </w:r>
    </w:p>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к приказу ПАО «МРСК Центра» </w:t>
      </w:r>
    </w:p>
    <w:p w:rsidR="00206458" w:rsidRPr="00767959" w:rsidRDefault="00405D88" w:rsidP="00206458">
      <w:pPr>
        <w:pStyle w:val="ConsPlusNormal"/>
        <w:ind w:left="5103" w:right="-2" w:firstLine="0"/>
        <w:rPr>
          <w:rFonts w:ascii="Times New Roman" w:eastAsia="Times New Roman" w:hAnsi="Times New Roman" w:cs="Times New Roman"/>
          <w:b/>
          <w:bCs/>
          <w:sz w:val="24"/>
          <w:szCs w:val="24"/>
        </w:rPr>
      </w:pPr>
      <w:r w:rsidRPr="00767959">
        <w:rPr>
          <w:rFonts w:ascii="Times New Roman" w:hAnsi="Times New Roman" w:cs="Times New Roman"/>
          <w:sz w:val="24"/>
          <w:szCs w:val="24"/>
        </w:rPr>
        <w:t xml:space="preserve">от </w:t>
      </w:r>
      <w:r w:rsidR="002602E3" w:rsidRPr="00767959">
        <w:rPr>
          <w:rFonts w:ascii="Times New Roman" w:hAnsi="Times New Roman" w:cs="Times New Roman"/>
          <w:sz w:val="24"/>
          <w:szCs w:val="24"/>
        </w:rPr>
        <w:t xml:space="preserve">30.12.2021   </w:t>
      </w:r>
      <w:r w:rsidRPr="00767959">
        <w:rPr>
          <w:rFonts w:ascii="Times New Roman" w:hAnsi="Times New Roman" w:cs="Times New Roman"/>
          <w:sz w:val="24"/>
          <w:szCs w:val="24"/>
        </w:rPr>
        <w:t xml:space="preserve">№ </w:t>
      </w:r>
      <w:r w:rsidR="002602E3" w:rsidRPr="00767959">
        <w:rPr>
          <w:rFonts w:ascii="Times New Roman" w:hAnsi="Times New Roman" w:cs="Times New Roman"/>
          <w:sz w:val="24"/>
          <w:szCs w:val="24"/>
        </w:rPr>
        <w:t xml:space="preserve"> 635-ЦА</w:t>
      </w: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Типовая форма договора поставки</w:t>
      </w:r>
    </w:p>
    <w:p w:rsidR="00B2775E" w:rsidRPr="00767959"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материально-технических ресурсов и оборудования</w:t>
      </w:r>
    </w:p>
    <w:p w:rsidR="00B2775E" w:rsidRPr="00767959"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r w:rsidRPr="00767959">
        <w:rPr>
          <w:rFonts w:ascii="Times New Roman" w:eastAsia="Times New Roman" w:hAnsi="Times New Roman" w:cs="Times New Roman"/>
          <w:b/>
          <w:bCs/>
          <w:kern w:val="32"/>
          <w:sz w:val="24"/>
          <w:szCs w:val="24"/>
          <w:lang w:eastAsia="ru-RU"/>
        </w:rPr>
        <w:tab/>
        <w:t xml:space="preserve">для нужд </w:t>
      </w:r>
      <w:r w:rsidR="0071360D" w:rsidRPr="00767959">
        <w:rPr>
          <w:rFonts w:ascii="Times New Roman" w:eastAsia="Times New Roman" w:hAnsi="Times New Roman" w:cs="Times New Roman"/>
          <w:b/>
          <w:bCs/>
          <w:kern w:val="32"/>
          <w:sz w:val="24"/>
          <w:szCs w:val="24"/>
          <w:lang w:eastAsia="ru-RU"/>
        </w:rPr>
        <w:t xml:space="preserve"> ПАО «МРСК Центра»</w:t>
      </w:r>
    </w:p>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RPr="00767959" w:rsidTr="00B2775E">
        <w:tc>
          <w:tcPr>
            <w:tcW w:w="3190" w:type="dxa"/>
            <w:hideMark/>
          </w:tcPr>
          <w:p w:rsidR="00B2775E" w:rsidRPr="00767959" w:rsidRDefault="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г. __________</w:t>
            </w: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rsidTr="00B2775E">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iCs/>
          <w:sz w:val="24"/>
          <w:szCs w:val="24"/>
        </w:rPr>
        <w:t>___________________________________________________________ (сокращенное наименование - _________________)</w:t>
      </w:r>
      <w:r w:rsidRPr="00767959">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rsidR="00B2775E" w:rsidRPr="00A90ABC" w:rsidRDefault="00B2775E" w:rsidP="00B2775E">
      <w:pPr>
        <w:jc w:val="both"/>
        <w:rPr>
          <w:rFonts w:ascii="Times New Roman" w:hAnsi="Times New Roman" w:cs="Times New Roman"/>
          <w:sz w:val="26"/>
          <w:szCs w:val="26"/>
        </w:rPr>
      </w:pPr>
      <w:r w:rsidRPr="00767959">
        <w:rPr>
          <w:rFonts w:ascii="Times New Roman" w:hAnsi="Times New Roman" w:cs="Times New Roman"/>
          <w:sz w:val="24"/>
          <w:szCs w:val="24"/>
        </w:rPr>
        <w:t>в дальнейшем совместно именуемые «Стороны»</w:t>
      </w:r>
      <w:r w:rsidRPr="00767959">
        <w:rPr>
          <w:rFonts w:ascii="Times New Roman" w:hAnsi="Times New Roman" w:cs="Times New Roman"/>
          <w:i/>
          <w:iCs/>
          <w:sz w:val="26"/>
          <w:szCs w:val="26"/>
          <w:lang w:val="x-none"/>
        </w:rPr>
        <w:t xml:space="preserve"> </w:t>
      </w:r>
      <w:r w:rsidRPr="00A90ABC">
        <w:rPr>
          <w:rFonts w:ascii="Times New Roman" w:hAnsi="Times New Roman" w:cs="Times New Roman"/>
          <w:iCs/>
          <w:sz w:val="26"/>
          <w:szCs w:val="26"/>
          <w:lang w:val="x-none"/>
        </w:rPr>
        <w:t>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w:t>
      </w:r>
      <w:proofErr w:type="spellStart"/>
      <w:r w:rsidR="00A90ABC" w:rsidRPr="000F5E31">
        <w:rPr>
          <w:rFonts w:ascii="Times New Roman" w:eastAsia="Times New Roman" w:hAnsi="Times New Roman" w:cs="Times New Roman"/>
          <w:sz w:val="24"/>
          <w:szCs w:val="24"/>
          <w:lang w:eastAsia="ru-RU"/>
        </w:rPr>
        <w:t>Россети</w:t>
      </w:r>
      <w:proofErr w:type="spellEnd"/>
      <w:r w:rsidR="00A90ABC" w:rsidRPr="000F5E31">
        <w:rPr>
          <w:rFonts w:ascii="Times New Roman" w:eastAsia="Times New Roman" w:hAnsi="Times New Roman" w:cs="Times New Roman"/>
          <w:sz w:val="24"/>
          <w:szCs w:val="24"/>
          <w:lang w:eastAsia="ru-RU"/>
        </w:rPr>
        <w:t xml:space="preserve">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r w:rsidR="00E7634C" w:rsidRPr="00E7634C">
        <w:rPr>
          <w:rFonts w:ascii="Times New Roman" w:hAnsi="Times New Roman" w:cs="Times New Roman"/>
          <w:bCs/>
          <w:sz w:val="24"/>
          <w:szCs w:val="24"/>
          <w:highlight w:val="yellow"/>
        </w:rPr>
        <w:t>блок</w:t>
      </w:r>
      <w:r w:rsidR="00E7634C">
        <w:rPr>
          <w:rFonts w:ascii="Times New Roman" w:hAnsi="Times New Roman" w:cs="Times New Roman"/>
          <w:bCs/>
          <w:sz w:val="24"/>
          <w:szCs w:val="24"/>
          <w:highlight w:val="yellow"/>
        </w:rPr>
        <w:t>и</w:t>
      </w:r>
      <w:bookmarkStart w:id="1" w:name="_GoBack"/>
      <w:bookmarkEnd w:id="1"/>
      <w:r w:rsidR="00E7634C" w:rsidRPr="00E7634C">
        <w:rPr>
          <w:rFonts w:ascii="Times New Roman" w:hAnsi="Times New Roman" w:cs="Times New Roman"/>
          <w:bCs/>
          <w:sz w:val="24"/>
          <w:szCs w:val="24"/>
          <w:highlight w:val="yellow"/>
        </w:rPr>
        <w:t xml:space="preserve"> ФБС </w:t>
      </w:r>
      <w:r w:rsidRPr="00A90ABC">
        <w:rPr>
          <w:rFonts w:ascii="Times New Roman" w:hAnsi="Times New Roman" w:cs="Times New Roman"/>
          <w:bCs/>
          <w:spacing w:val="-2"/>
          <w:sz w:val="24"/>
          <w:szCs w:val="24"/>
          <w:highlight w:val="yellow"/>
        </w:rPr>
        <w:t xml:space="preserve">в соответствии с </w:t>
      </w:r>
      <w:r w:rsidR="00964927" w:rsidRPr="00A90ABC">
        <w:rPr>
          <w:rFonts w:ascii="Times New Roman" w:hAnsi="Times New Roman" w:cs="Times New Roman"/>
          <w:bCs/>
          <w:spacing w:val="-2"/>
          <w:sz w:val="24"/>
          <w:szCs w:val="24"/>
          <w:highlight w:val="yellow"/>
        </w:rPr>
        <w:t>п</w:t>
      </w:r>
      <w:r w:rsidRPr="00A90ABC">
        <w:rPr>
          <w:rFonts w:ascii="Times New Roman" w:hAnsi="Times New Roman" w:cs="Times New Roman"/>
          <w:bCs/>
          <w:spacing w:val="-2"/>
          <w:sz w:val="24"/>
          <w:szCs w:val="24"/>
          <w:highlight w:val="yellow"/>
        </w:rPr>
        <w:t>риложением</w:t>
      </w:r>
      <w:r w:rsidRPr="00A90ABC">
        <w:rPr>
          <w:rFonts w:ascii="Times New Roman" w:hAnsi="Times New Roman" w:cs="Times New Roman"/>
          <w:bCs/>
          <w:sz w:val="24"/>
          <w:szCs w:val="24"/>
          <w:highlight w:val="yellow"/>
        </w:rPr>
        <w:t xml:space="preserve"> 1 к Договору</w:t>
      </w:r>
      <w:r w:rsidRPr="00767959">
        <w:rPr>
          <w:rFonts w:ascii="Times New Roman" w:hAnsi="Times New Roman" w:cs="Times New Roman"/>
          <w:bCs/>
          <w:sz w:val="24"/>
          <w:szCs w:val="24"/>
        </w:rPr>
        <w:t>.</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lastRenderedPageBreak/>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sz w:val="24"/>
          <w:szCs w:val="24"/>
        </w:rPr>
      </w:pPr>
      <w:r w:rsidRPr="00767959">
        <w:rPr>
          <w:rFonts w:ascii="Times New Roman" w:hAnsi="Times New Roman" w:cs="Times New Roman"/>
          <w:bCs/>
          <w:sz w:val="24"/>
          <w:szCs w:val="24"/>
        </w:rPr>
        <w:t>3.1. </w:t>
      </w:r>
      <w:r w:rsidRPr="00A90ABC">
        <w:rPr>
          <w:rFonts w:ascii="Times New Roman" w:hAnsi="Times New Roman" w:cs="Times New Roman"/>
          <w:b/>
          <w:bCs/>
          <w:i/>
          <w:sz w:val="24"/>
          <w:szCs w:val="24"/>
          <w:highlight w:val="yellow"/>
        </w:rPr>
        <w:t>Вариант для конкретного объема поставки и твердой цены</w:t>
      </w:r>
      <w:r w:rsidRPr="00767959">
        <w:rPr>
          <w:rFonts w:ascii="Times New Roman" w:hAnsi="Times New Roman" w:cs="Times New Roman"/>
          <w:b/>
          <w:bCs/>
          <w:sz w:val="24"/>
          <w:szCs w:val="24"/>
        </w:rPr>
        <w:t>.</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sidRPr="00A90ABC">
        <w:rPr>
          <w:rFonts w:ascii="Times New Roman" w:hAnsi="Times New Roman" w:cs="Times New Roman"/>
          <w:b/>
          <w:bCs/>
          <w:i/>
          <w:sz w:val="24"/>
          <w:szCs w:val="24"/>
          <w:highlight w:val="yellow"/>
        </w:rPr>
        <w:t>Вариант для поставки по единичным расценкам и предельной цены.</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r w:rsidRPr="00767959">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sidRPr="00767959">
        <w:rPr>
          <w:rFonts w:ascii="Times New Roman" w:hAnsi="Times New Roman" w:cs="Times New Roman"/>
          <w:sz w:val="24"/>
          <w:szCs w:val="24"/>
        </w:rPr>
        <w:t>переконсервации</w:t>
      </w:r>
      <w:proofErr w:type="spellEnd"/>
      <w:r w:rsidRPr="00767959">
        <w:rPr>
          <w:rFonts w:ascii="Times New Roman" w:hAnsi="Times New Roman" w:cs="Times New Roman"/>
          <w:sz w:val="24"/>
          <w:szCs w:val="24"/>
        </w:rPr>
        <w:t>/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 xml:space="preserve">дополнительное количество Товара </w:t>
      </w:r>
      <w:r w:rsidRPr="00767959">
        <w:rPr>
          <w:rFonts w:ascii="Times New Roman" w:hAnsi="Times New Roman" w:cs="Times New Roman"/>
          <w:spacing w:val="-4"/>
          <w:sz w:val="24"/>
          <w:szCs w:val="24"/>
        </w:rPr>
        <w:lastRenderedPageBreak/>
        <w:t>(по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9359E9" w:rsidRDefault="00B2775E" w:rsidP="00B2775E">
      <w:pPr>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359E9">
        <w:rPr>
          <w:rFonts w:ascii="Times New Roman" w:hAnsi="Times New Roman" w:cs="Times New Roman"/>
          <w:sz w:val="24"/>
          <w:szCs w:val="24"/>
        </w:rPr>
        <w:t xml:space="preserve">Оплата поставленного Поставщиком Товара осуществляется Покупателем: </w:t>
      </w:r>
    </w:p>
    <w:p w:rsidR="00B2775E" w:rsidRPr="003C442E" w:rsidRDefault="00B2775E" w:rsidP="00B2775E">
      <w:pPr>
        <w:ind w:firstLine="709"/>
        <w:jc w:val="both"/>
        <w:rPr>
          <w:rFonts w:ascii="Times New Roman" w:hAnsi="Times New Roman" w:cs="Times New Roman"/>
          <w:b/>
          <w:bCs/>
          <w:iCs/>
          <w:sz w:val="24"/>
          <w:szCs w:val="24"/>
          <w:highlight w:val="yellow"/>
        </w:rPr>
      </w:pPr>
      <w:r w:rsidRPr="003C442E">
        <w:rPr>
          <w:rFonts w:ascii="Times New Roman" w:hAnsi="Times New Roman" w:cs="Times New Roman"/>
          <w:sz w:val="24"/>
          <w:szCs w:val="24"/>
          <w:highlight w:val="yellow"/>
        </w:rPr>
        <w:t>-</w:t>
      </w:r>
      <w:r w:rsidR="009359E9" w:rsidRPr="003C442E">
        <w:rPr>
          <w:rFonts w:ascii="Times New Roman" w:hAnsi="Times New Roman" w:cs="Times New Roman"/>
          <w:iCs/>
          <w:sz w:val="24"/>
          <w:szCs w:val="24"/>
          <w:highlight w:val="yellow"/>
        </w:rPr>
        <w:t>не более 30 (тридцати) рабочих дней</w:t>
      </w:r>
      <w:r w:rsidRPr="003C442E">
        <w:rPr>
          <w:rFonts w:ascii="Times New Roman" w:hAnsi="Times New Roman" w:cs="Times New Roman"/>
          <w:sz w:val="24"/>
          <w:szCs w:val="24"/>
          <w:highlight w:val="yellow"/>
        </w:rPr>
        <w:t xml:space="preserve"> </w:t>
      </w:r>
      <w:r w:rsidRPr="003C442E">
        <w:rPr>
          <w:rFonts w:ascii="Times New Roman" w:hAnsi="Times New Roman" w:cs="Times New Roman"/>
          <w:b/>
          <w:bCs/>
          <w:iCs/>
          <w:sz w:val="24"/>
          <w:szCs w:val="24"/>
          <w:highlight w:val="yellow"/>
        </w:rPr>
        <w:t>(если в едином реестре субъектов малого и среднего предпринимательства отсутствуют сведения о Поставщике);</w:t>
      </w:r>
    </w:p>
    <w:p w:rsidR="00B2775E" w:rsidRPr="00767959" w:rsidRDefault="00B2775E" w:rsidP="00B2775E">
      <w:pPr>
        <w:ind w:firstLine="709"/>
        <w:jc w:val="both"/>
        <w:rPr>
          <w:rFonts w:ascii="Times New Roman" w:hAnsi="Times New Roman" w:cs="Times New Roman"/>
          <w:sz w:val="24"/>
          <w:szCs w:val="24"/>
        </w:rPr>
      </w:pPr>
      <w:r w:rsidRPr="003C442E">
        <w:rPr>
          <w:rFonts w:ascii="Times New Roman" w:hAnsi="Times New Roman" w:cs="Times New Roman"/>
          <w:sz w:val="24"/>
          <w:szCs w:val="24"/>
          <w:highlight w:val="yellow"/>
        </w:rPr>
        <w:t xml:space="preserve">-в течение </w:t>
      </w:r>
      <w:r w:rsidR="00685F70" w:rsidRPr="003C442E">
        <w:rPr>
          <w:rFonts w:ascii="Times New Roman" w:hAnsi="Times New Roman" w:cs="Times New Roman"/>
          <w:sz w:val="24"/>
          <w:szCs w:val="24"/>
          <w:highlight w:val="yellow"/>
        </w:rPr>
        <w:t>7 (семи)</w:t>
      </w:r>
      <w:r w:rsidRPr="003C442E">
        <w:rPr>
          <w:rFonts w:ascii="Times New Roman" w:hAnsi="Times New Roman" w:cs="Times New Roman"/>
          <w:sz w:val="24"/>
          <w:szCs w:val="24"/>
          <w:highlight w:val="yellow"/>
        </w:rPr>
        <w:t xml:space="preserve"> рабочих дней</w:t>
      </w:r>
      <w:r w:rsidRPr="003C442E">
        <w:rPr>
          <w:rFonts w:ascii="Times New Roman" w:hAnsi="Times New Roman" w:cs="Times New Roman"/>
          <w:b/>
          <w:bCs/>
          <w:iCs/>
          <w:sz w:val="24"/>
          <w:szCs w:val="24"/>
          <w:highlight w:val="yellow"/>
        </w:rPr>
        <w:t xml:space="preserve"> (если сведения о Поставщике содержатся в едином реестре субъектов малого и среднего предпринимательства)</w:t>
      </w:r>
    </w:p>
    <w:p w:rsidR="00B2775E" w:rsidRPr="00767959"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со дня фактической передачи Товара в полном объеме (или - партии Товара, Товара согласно Заявке), в собственность Покупателя, при соблюдении следующих условий: </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z w:val="24"/>
          <w:szCs w:val="24"/>
        </w:rPr>
        <w:t>1) Поставщик предоставил, а Покупатель принял обеспечение исполнения гарантийных обязательств в порядке и сроки, установленные в Приложении 9 к Договору;</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2) 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lastRenderedPageBreak/>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2" w:name="Par0"/>
      <w:bookmarkEnd w:id="2"/>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 xml:space="preserve">должны строго соответствовать требованиям, предусмотренным в </w:t>
      </w:r>
      <w:r w:rsidRPr="00767959">
        <w:rPr>
          <w:rFonts w:ascii="Times New Roman" w:hAnsi="Times New Roman"/>
          <w:spacing w:val="-4"/>
          <w:sz w:val="24"/>
          <w:szCs w:val="24"/>
        </w:rPr>
        <w:lastRenderedPageBreak/>
        <w:t>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rsidR="00B2775E" w:rsidRPr="00767959" w:rsidRDefault="00B2775E" w:rsidP="003C442E">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xml:space="preserve">. </w:t>
      </w:r>
      <w:r w:rsidRPr="003C442E">
        <w:rPr>
          <w:rFonts w:ascii="Times New Roman" w:hAnsi="Times New Roman" w:cs="Times New Roman"/>
          <w:b/>
          <w:i/>
          <w:sz w:val="24"/>
          <w:szCs w:val="24"/>
          <w:highlight w:val="yellow"/>
        </w:rPr>
        <w:t>Вариант первого абзаца для поставки конкретного объема</w:t>
      </w:r>
      <w:r w:rsidRPr="003C442E">
        <w:rPr>
          <w:rFonts w:ascii="Times New Roman" w:hAnsi="Times New Roman" w:cs="Times New Roman"/>
          <w:i/>
          <w:sz w:val="24"/>
          <w:szCs w:val="24"/>
          <w:highlight w:val="yellow"/>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3C442E" w:rsidRDefault="00B2775E" w:rsidP="00B2775E">
      <w:pPr>
        <w:widowControl w:val="0"/>
        <w:tabs>
          <w:tab w:val="left" w:pos="0"/>
        </w:tabs>
        <w:spacing w:after="0" w:line="300" w:lineRule="exact"/>
        <w:ind w:firstLine="567"/>
        <w:jc w:val="both"/>
        <w:rPr>
          <w:rFonts w:ascii="Times New Roman" w:hAnsi="Times New Roman" w:cs="Times New Roman"/>
          <w:b/>
          <w:i/>
          <w:sz w:val="24"/>
          <w:szCs w:val="24"/>
        </w:rPr>
      </w:pPr>
      <w:r w:rsidRPr="003C442E">
        <w:rPr>
          <w:rFonts w:ascii="Times New Roman" w:hAnsi="Times New Roman" w:cs="Times New Roman"/>
          <w:b/>
          <w:i/>
          <w:sz w:val="24"/>
          <w:szCs w:val="24"/>
          <w:highlight w:val="yellow"/>
        </w:rPr>
        <w:t>Вариант первого абзаца для поставки по единичным расценкам.</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Допускается поставка товара Поставщиком в период с ________ по _______</w:t>
      </w:r>
      <w:proofErr w:type="gramStart"/>
      <w:r w:rsidRPr="00767959">
        <w:rPr>
          <w:rFonts w:ascii="Times New Roman" w:hAnsi="Times New Roman" w:cs="Times New Roman"/>
          <w:sz w:val="24"/>
          <w:szCs w:val="24"/>
        </w:rPr>
        <w:t>_  (</w:t>
      </w:r>
      <w:proofErr w:type="gramEnd"/>
      <w:r w:rsidRPr="00767959">
        <w:rPr>
          <w:rFonts w:ascii="Times New Roman" w:hAnsi="Times New Roman" w:cs="Times New Roman"/>
          <w:sz w:val="24"/>
          <w:szCs w:val="24"/>
        </w:rPr>
        <w:t xml:space="preserve">либо в течение ______ с момента заключения Договора).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w:t>
      </w:r>
      <w:r w:rsidRPr="00767959">
        <w:rPr>
          <w:rFonts w:ascii="Times New Roman" w:hAnsi="Times New Roman" w:cs="Times New Roman"/>
          <w:sz w:val="24"/>
          <w:szCs w:val="24"/>
        </w:rPr>
        <w:lastRenderedPageBreak/>
        <w:t>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обязан предоставить на согласование в формате MS </w:t>
      </w:r>
      <w:proofErr w:type="spellStart"/>
      <w:r w:rsidRPr="00767959">
        <w:rPr>
          <w:rFonts w:ascii="Times New Roman" w:hAnsi="Times New Roman" w:cs="Times New Roman"/>
          <w:sz w:val="24"/>
          <w:szCs w:val="24"/>
        </w:rPr>
        <w:t>Word</w:t>
      </w:r>
      <w:proofErr w:type="spellEnd"/>
      <w:r w:rsidRPr="00767959">
        <w:rPr>
          <w:rFonts w:ascii="Times New Roman" w:hAnsi="Times New Roman" w:cs="Times New Roman"/>
          <w:sz w:val="24"/>
          <w:szCs w:val="24"/>
        </w:rPr>
        <w:t xml:space="preserve">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lastRenderedPageBreak/>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w:t>
      </w:r>
      <w:proofErr w:type="spellStart"/>
      <w:r w:rsidRPr="00767959">
        <w:rPr>
          <w:rFonts w:ascii="Times New Roman" w:hAnsi="Times New Roman" w:cs="Times New Roman"/>
          <w:sz w:val="24"/>
          <w:szCs w:val="24"/>
        </w:rPr>
        <w:t>ruAA</w:t>
      </w:r>
      <w:proofErr w:type="spellEnd"/>
      <w:r w:rsidRPr="00767959">
        <w:rPr>
          <w:rFonts w:ascii="Times New Roman" w:hAnsi="Times New Roman" w:cs="Times New Roman"/>
          <w:sz w:val="24"/>
          <w:szCs w:val="24"/>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w:t>
      </w:r>
      <w:proofErr w:type="gramStart"/>
      <w:r w:rsidR="00B2775E" w:rsidRPr="00767959">
        <w:rPr>
          <w:rFonts w:ascii="Times New Roman" w:hAnsi="Times New Roman" w:cs="Times New Roman"/>
          <w:sz w:val="24"/>
          <w:szCs w:val="24"/>
        </w:rPr>
        <w:t>Товара</w:t>
      </w:r>
      <w:proofErr w:type="gramEnd"/>
      <w:r w:rsidR="00B2775E" w:rsidRPr="00767959">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lastRenderedPageBreak/>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w:t>
      </w:r>
      <w:r w:rsidRPr="00767959">
        <w:rPr>
          <w:rFonts w:ascii="Times New Roman" w:hAnsi="Times New Roman" w:cs="Times New Roman"/>
          <w:sz w:val="24"/>
          <w:szCs w:val="24"/>
        </w:rPr>
        <w:lastRenderedPageBreak/>
        <w:t>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w:t>
      </w:r>
      <w:r w:rsidRPr="00767959">
        <w:rPr>
          <w:rFonts w:ascii="Times New Roman" w:hAnsi="Times New Roman" w:cs="Times New Roman"/>
          <w:sz w:val="24"/>
          <w:szCs w:val="24"/>
        </w:rPr>
        <w:lastRenderedPageBreak/>
        <w:t>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.2 Договора. При этом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 xml:space="preserve">.4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w:t>
      </w:r>
      <w:r w:rsidRPr="00767959">
        <w:rPr>
          <w:rFonts w:ascii="Times New Roman" w:hAnsi="Times New Roman" w:cs="Times New Roman"/>
          <w:spacing w:val="-1"/>
          <w:sz w:val="24"/>
          <w:szCs w:val="24"/>
        </w:rPr>
        <w:lastRenderedPageBreak/>
        <w:t>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 xml:space="preserve">невозможно </w:t>
      </w:r>
      <w:r w:rsidRPr="00767959">
        <w:rPr>
          <w:rFonts w:ascii="Times New Roman" w:eastAsia="Calibri" w:hAnsi="Times New Roman" w:cs="Times New Roman"/>
          <w:spacing w:val="-4"/>
          <w:sz w:val="24"/>
          <w:szCs w:val="24"/>
        </w:rPr>
        <w:lastRenderedPageBreak/>
        <w:t>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.1.2. За неисполнение и/или несвоевременное исполнение Поставщиком</w:t>
      </w:r>
      <w:r w:rsidRPr="00767959">
        <w:rPr>
          <w:rFonts w:ascii="Times New Roman" w:hAnsi="Times New Roman" w:cs="Times New Roman"/>
          <w:sz w:val="24"/>
          <w:szCs w:val="24"/>
        </w:rPr>
        <w:t xml:space="preserve"> обязательств по предоставлению обеспечения, в том числе по продлению и/или замене банковских гарантий, восстановлению сумм обеспечительного платежа, предусмотренных Приложением 9 к Договору, - неустойку в размере 0,01% от цены Договора за каждый день просрочки исполнения Поставщиком своих обязательств.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4</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5</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порядке, 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отказа Покупателя от исполнения Договора по основаниям, указанным в </w:t>
      </w:r>
      <w:r w:rsidRPr="00767959">
        <w:rPr>
          <w:rFonts w:ascii="Times New Roman" w:hAnsi="Times New Roman" w:cs="Times New Roman"/>
          <w:sz w:val="24"/>
          <w:szCs w:val="24"/>
        </w:rPr>
        <w:lastRenderedPageBreak/>
        <w:t>п. 1</w:t>
      </w:r>
      <w:r w:rsidR="00202F46">
        <w:rPr>
          <w:rFonts w:ascii="Times New Roman" w:hAnsi="Times New Roman" w:cs="Times New Roman"/>
          <w:sz w:val="24"/>
          <w:szCs w:val="24"/>
        </w:rPr>
        <w:t>4</w:t>
      </w:r>
      <w:r w:rsidRPr="00767959">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Если Споры передаются на разрешение третейского суда, то вынесенное им решение </w:t>
      </w:r>
      <w:r w:rsidRPr="00767959">
        <w:rPr>
          <w:rFonts w:ascii="Times New Roman" w:hAnsi="Times New Roman" w:cs="Times New Roman"/>
          <w:bCs/>
          <w:sz w:val="24"/>
          <w:szCs w:val="24"/>
        </w:rPr>
        <w:lastRenderedPageBreak/>
        <w:t>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proofErr w:type="gramStart"/>
      <w:r w:rsidR="00202F46">
        <w:rPr>
          <w:rFonts w:ascii="Times New Roman" w:hAnsi="Times New Roman" w:cs="Times New Roman"/>
          <w:bCs/>
          <w:sz w:val="24"/>
          <w:szCs w:val="24"/>
        </w:rPr>
        <w:t xml:space="preserve">10 </w:t>
      </w:r>
      <w:r w:rsidRPr="00767959">
        <w:rPr>
          <w:rFonts w:ascii="Times New Roman" w:hAnsi="Times New Roman" w:cs="Times New Roman"/>
          <w:bCs/>
          <w:sz w:val="24"/>
          <w:szCs w:val="24"/>
        </w:rPr>
        <w:t> календарных</w:t>
      </w:r>
      <w:proofErr w:type="gramEnd"/>
      <w:r w:rsidRPr="00767959">
        <w:rPr>
          <w:rFonts w:ascii="Times New Roman" w:hAnsi="Times New Roman" w:cs="Times New Roman"/>
          <w:bCs/>
          <w:sz w:val="24"/>
          <w:szCs w:val="24"/>
        </w:rPr>
        <w:t xml:space="preserve">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(Филиал ПАО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w:t>
            </w:r>
            <w:proofErr w:type="gramStart"/>
            <w:r w:rsidRPr="00767959">
              <w:rPr>
                <w:rFonts w:ascii="Times New Roman" w:eastAsia="Times New Roman" w:hAnsi="Times New Roman" w:cs="Times New Roman"/>
                <w:sz w:val="24"/>
                <w:szCs w:val="24"/>
                <w:lang w:eastAsia="ru-RU"/>
              </w:rPr>
              <w:t>с:  _</w:t>
            </w:r>
            <w:proofErr w:type="gramEnd"/>
            <w:r w:rsidRPr="00767959">
              <w:rPr>
                <w:rFonts w:ascii="Times New Roman" w:eastAsia="Times New Roman" w:hAnsi="Times New Roman" w:cs="Times New Roman"/>
                <w:sz w:val="24"/>
                <w:szCs w:val="24"/>
                <w:lang w:eastAsia="ru-RU"/>
              </w:rPr>
              <w:t>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2"/>
      </w:r>
    </w:p>
    <w:p w:rsidR="00B2775E" w:rsidRPr="00767959" w:rsidRDefault="00B2775E" w:rsidP="00B2775E">
      <w:pPr>
        <w:widowControl w:val="0"/>
        <w:spacing w:after="0" w:line="240" w:lineRule="auto"/>
        <w:ind w:firstLine="709"/>
        <w:rPr>
          <w:rFonts w:ascii="Times New Roman" w:hAnsi="Times New Roman" w:cs="Times New Roman"/>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/расконсервация</w:t>
      </w:r>
      <w:r w:rsidRPr="00767959">
        <w:rPr>
          <w:rFonts w:ascii="Times New Roman" w:hAnsi="Times New Roman" w:cs="Times New Roman"/>
          <w:i/>
          <w:iCs/>
          <w:sz w:val="24"/>
          <w:szCs w:val="24"/>
        </w:rPr>
        <w:t>.</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9" w:history="1">
        <w:r w:rsidRPr="00767959">
          <w:rPr>
            <w:rStyle w:val="a6"/>
            <w:rFonts w:ascii="Times New Roman" w:hAnsi="Times New Roman" w:cs="Times New Roman"/>
            <w:sz w:val="24"/>
            <w:szCs w:val="24"/>
          </w:rPr>
          <w:t>ГОСТ Р 51303-2013</w:t>
        </w:r>
      </w:hyperlink>
      <w:r w:rsidRPr="00767959">
        <w:rPr>
          <w:rFonts w:ascii="Times New Roman" w:hAnsi="Times New Roman" w:cs="Times New Roman"/>
          <w:sz w:val="24"/>
          <w:szCs w:val="24"/>
        </w:rPr>
        <w:t xml:space="preserve">, </w:t>
      </w:r>
      <w:hyperlink r:id="rId10"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rsidR="00B2775E" w:rsidRPr="00767959" w:rsidRDefault="00B2775E" w:rsidP="00B2775E">
      <w:pPr>
        <w:spacing w:after="0"/>
        <w:ind w:firstLine="709"/>
        <w:jc w:val="both"/>
        <w:outlineLvl w:val="0"/>
        <w:rPr>
          <w:rFonts w:ascii="Times New Roman" w:hAnsi="Times New Roman" w:cs="Times New Roman"/>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1"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2"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 Технические регламенты Таможенного союза.</w:t>
      </w:r>
    </w:p>
    <w:p w:rsidR="00B2775E" w:rsidRPr="00767959" w:rsidRDefault="00B2775E" w:rsidP="00B2775E">
      <w:pPr>
        <w:spacing w:after="0"/>
        <w:ind w:firstLine="709"/>
        <w:rPr>
          <w:rFonts w:ascii="Times New Roman" w:hAnsi="Times New Roman" w:cs="Times New Roman"/>
          <w:b/>
          <w:b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3"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ОК 015-94.</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в течение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 с момента заключения договора по отдельным заявкам Заказчика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proofErr w:type="gramStart"/>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proofErr w:type="gramEnd"/>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BB2620">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BB2620">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BB2620">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proofErr w:type="spellStart"/>
            <w:r w:rsidRPr="00E03BB3">
              <w:rPr>
                <w:rFonts w:ascii="Times New Roman" w:eastAsia="Times New Roman" w:hAnsi="Times New Roman" w:cs="Times New Roman"/>
                <w:b/>
                <w:bCs/>
                <w:sz w:val="16"/>
                <w:szCs w:val="16"/>
              </w:rPr>
              <w:t>Наименова-ние</w:t>
            </w:r>
            <w:proofErr w:type="spellEnd"/>
            <w:r w:rsidRPr="00E03BB3">
              <w:rPr>
                <w:rFonts w:ascii="Times New Roman" w:eastAsia="Times New Roman" w:hAnsi="Times New Roman" w:cs="Times New Roman"/>
                <w:b/>
                <w:bCs/>
                <w:sz w:val="16"/>
                <w:szCs w:val="16"/>
              </w:rPr>
              <w:t xml:space="preserve">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BB2620">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BB2620">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r>
      <w:tr w:rsidR="001D4468" w:rsidRPr="00E03BB3" w:rsidTr="00BB2620">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№1</w:t>
            </w:r>
          </w:p>
        </w:tc>
        <w:tc>
          <w:tcPr>
            <w:tcW w:w="143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BB2620">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proofErr w:type="spellStart"/>
      <w:r>
        <w:rPr>
          <w:rFonts w:ascii="Times New Roman" w:eastAsia="Times New Roman" w:hAnsi="Times New Roman" w:cs="Times New Roman"/>
          <w:snapToGrid w:val="0"/>
          <w:sz w:val="24"/>
          <w:szCs w:val="24"/>
          <w:lang w:eastAsia="ru-RU"/>
        </w:rPr>
        <w:t>Россети</w:t>
      </w:r>
      <w:proofErr w:type="spellEnd"/>
      <w:r>
        <w:rPr>
          <w:rFonts w:ascii="Times New Roman" w:eastAsia="Times New Roman" w:hAnsi="Times New Roman" w:cs="Times New Roman"/>
          <w:snapToGrid w:val="0"/>
          <w:sz w:val="24"/>
          <w:szCs w:val="24"/>
          <w:lang w:eastAsia="ru-RU"/>
        </w:rPr>
        <w:t xml:space="preserve">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xml:space="preserve">»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 xml:space="preserve">(Подпись уполномоченного </w:t>
      </w:r>
      <w:proofErr w:type="gramStart"/>
      <w:r w:rsidRPr="00073C07">
        <w:rPr>
          <w:rFonts w:ascii="Times New Roman" w:eastAsia="Calibri" w:hAnsi="Times New Roman" w:cs="Times New Roman"/>
          <w:i/>
          <w:sz w:val="24"/>
          <w:szCs w:val="24"/>
        </w:rPr>
        <w:t>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w:t>
      </w:r>
      <w:proofErr w:type="gramEnd"/>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lastRenderedPageBreak/>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lastRenderedPageBreak/>
        <w:t>Приложение 12</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3"/>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4"/>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46E" w:rsidRDefault="002D246E" w:rsidP="00316717">
      <w:pPr>
        <w:spacing w:after="0" w:line="240" w:lineRule="auto"/>
      </w:pPr>
      <w:r>
        <w:separator/>
      </w:r>
    </w:p>
  </w:endnote>
  <w:endnote w:type="continuationSeparator" w:id="0">
    <w:p w:rsidR="002D246E" w:rsidRDefault="002D246E" w:rsidP="00316717">
      <w:pPr>
        <w:spacing w:after="0" w:line="240" w:lineRule="auto"/>
      </w:pPr>
      <w:r>
        <w:continuationSeparator/>
      </w:r>
    </w:p>
  </w:endnote>
  <w:endnote w:type="continuationNotice" w:id="1">
    <w:p w:rsidR="002D246E" w:rsidRDefault="002D24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46E" w:rsidRDefault="002D246E" w:rsidP="00316717">
      <w:pPr>
        <w:spacing w:after="0" w:line="240" w:lineRule="auto"/>
      </w:pPr>
      <w:r>
        <w:separator/>
      </w:r>
    </w:p>
  </w:footnote>
  <w:footnote w:type="continuationSeparator" w:id="0">
    <w:p w:rsidR="002D246E" w:rsidRDefault="002D246E" w:rsidP="00316717">
      <w:pPr>
        <w:spacing w:after="0" w:line="240" w:lineRule="auto"/>
      </w:pPr>
      <w:r>
        <w:continuationSeparator/>
      </w:r>
    </w:p>
  </w:footnote>
  <w:footnote w:type="continuationNotice" w:id="1">
    <w:p w:rsidR="002D246E" w:rsidRDefault="002D246E">
      <w:pPr>
        <w:spacing w:after="0" w:line="240" w:lineRule="auto"/>
      </w:pPr>
    </w:p>
  </w:footnote>
  <w:footnote w:id="2">
    <w:p w:rsidR="00A90ABC" w:rsidRDefault="00A90ABC"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3">
    <w:p w:rsidR="00A90ABC" w:rsidRDefault="00A90ABC"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A90ABC" w:rsidRDefault="00A90ABC" w:rsidP="00B2775E">
      <w:pPr>
        <w:pStyle w:val="ad"/>
        <w:ind w:left="142" w:firstLine="567"/>
        <w:jc w:val="both"/>
        <w:rPr>
          <w:rFonts w:ascii="Times New Roman" w:hAnsi="Times New Roman" w:cs="Times New Roman"/>
          <w:sz w:val="22"/>
          <w:szCs w:val="22"/>
        </w:rPr>
      </w:pPr>
    </w:p>
  </w:footnote>
  <w:footnote w:id="4">
    <w:p w:rsidR="00A90ABC" w:rsidRDefault="00A90ABC">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D246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7634C"/>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3BB83"/>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13" Type="http://schemas.openxmlformats.org/officeDocument/2006/relationships/hyperlink" Target="consultantplus://offline/ref=ED6F8AD86CCA2258871E4245C3487A0A0058E002F4D72C944F1016554Dj0I9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43E8CF7C5D3017F93DCBA5ABE19C314E46C3F55017C10A20B944EC50RFX3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DC7F05717C10A20B944EC50RFX3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243E8CF7C5D3017F93DCBA5ABE19C314E4DC7F05717C10A20B944EC50RFX3P" TargetMode="External"/><Relationship Id="rId4" Type="http://schemas.openxmlformats.org/officeDocument/2006/relationships/settings" Target="settings.xml"/><Relationship Id="rId9" Type="http://schemas.openxmlformats.org/officeDocument/2006/relationships/hyperlink" Target="consultantplus://offline/ref=4243E8CF7C5D3017F93DCBA5ABE19C314E44C4F45016C10A20B944EC50RFX3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8955A-B7D5-4B54-8D89-EC57C4A45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28</Pages>
  <Words>9908</Words>
  <Characters>56480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Михайличенко Татьяна Викторовна</cp:lastModifiedBy>
  <cp:revision>12</cp:revision>
  <cp:lastPrinted>2020-03-10T13:04:00Z</cp:lastPrinted>
  <dcterms:created xsi:type="dcterms:W3CDTF">2021-07-29T09:36:00Z</dcterms:created>
  <dcterms:modified xsi:type="dcterms:W3CDTF">2022-11-29T18:54:00Z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