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D85" w:rsidRDefault="00ED1D85" w:rsidP="00ED1D85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</w:p>
    <w:p w:rsidR="007C5205" w:rsidRDefault="007C5205" w:rsidP="00ED1D85">
      <w:pPr>
        <w:pStyle w:val="a7"/>
        <w:ind w:firstLine="0"/>
        <w:jc w:val="center"/>
        <w:rPr>
          <w:b/>
        </w:rPr>
      </w:pPr>
      <w:bookmarkStart w:id="2" w:name="_GoBack"/>
      <w:bookmarkEnd w:id="2"/>
      <w:r w:rsidRPr="00BE0F4A">
        <w:rPr>
          <w:b/>
        </w:rPr>
        <w:t>Оценочная стадия</w:t>
      </w:r>
      <w:bookmarkEnd w:id="0"/>
      <w:bookmarkEnd w:id="1"/>
    </w:p>
    <w:p w:rsidR="00ED1D85" w:rsidRPr="00BE0F4A" w:rsidRDefault="00ED1D85" w:rsidP="00ED1D85">
      <w:pPr>
        <w:pStyle w:val="a7"/>
        <w:ind w:firstLine="0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5F4BBE">
        <w:rPr>
          <w:sz w:val="24"/>
          <w:szCs w:val="24"/>
          <w:u w:val="single"/>
        </w:rPr>
        <w:t>Письмо 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Балл</w:t>
      </w:r>
      <w:proofErr w:type="spellStart"/>
      <w:r w:rsidRPr="00D66CCD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r w:rsidRPr="00D66CCD">
        <w:rPr>
          <w:i/>
          <w:iCs/>
          <w:sz w:val="24"/>
          <w:szCs w:val="24"/>
          <w:vertAlign w:val="subscript"/>
        </w:rPr>
        <w:t xml:space="preserve"> </w:t>
      </w:r>
      <w:r w:rsidRPr="00D66CCD">
        <w:rPr>
          <w:sz w:val="24"/>
          <w:szCs w:val="24"/>
        </w:rPr>
        <w:t>=</w:t>
      </w:r>
      <w:r w:rsidRPr="00D66CCD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6CCD">
        <w:rPr>
          <w:sz w:val="24"/>
          <w:szCs w:val="24"/>
        </w:rPr>
        <w:t xml:space="preserve">, 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–минимальная цена, предложенная Участниками по каждой позиции;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Ц</w:t>
      </w:r>
      <w:proofErr w:type="spellStart"/>
      <w:r w:rsidRPr="00D66CCD">
        <w:rPr>
          <w:sz w:val="24"/>
          <w:szCs w:val="24"/>
          <w:vertAlign w:val="subscript"/>
          <w:lang w:val="en-US"/>
        </w:rPr>
        <w:t>i</w:t>
      </w:r>
      <w:proofErr w:type="spellEnd"/>
      <w:r w:rsidRPr="00D66CCD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1D42F3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439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57pt" o:ole="" fillcolor="window">
            <v:imagedata r:id="rId7" o:title=""/>
          </v:shape>
          <o:OLEObject Type="Embed" ProgID="Equation.3" ShapeID="_x0000_i1025" DrawAspect="Content" ObjectID="_1540193675" r:id="rId8"/>
        </w:object>
      </w:r>
    </w:p>
    <w:p w:rsidR="007F19DA" w:rsidRPr="007F19DA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26" type="#_x0000_t75" style="width:142.5pt;height:31.5pt" o:ole="" fillcolor="window">
            <v:imagedata r:id="rId9" o:title=""/>
          </v:shape>
          <o:OLEObject Type="Embed" ProgID="Equation.3" ShapeID="_x0000_i1026" DrawAspect="Content" ObjectID="_1540193676" r:id="rId10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11" o:title=""/>
          </v:shape>
          <o:OLEObject Type="Embed" ProgID="Equation.3" ShapeID="_x0000_i1027" DrawAspect="Content" ObjectID="_1540193677" r:id="rId12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gramStart"/>
      <w:r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ому)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28" type="#_x0000_t75" style="width:141pt;height:31.5pt" o:ole="" fillcolor="window">
            <v:imagedata r:id="rId13" o:title=""/>
          </v:shape>
          <o:OLEObject Type="Embed" ProgID="Equation.3" ShapeID="_x0000_i1028" DrawAspect="Content" ObjectID="_1540193678" r:id="rId14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9" type="#_x0000_t75" style="width:23.25pt;height:22.5pt" o:ole="" fillcolor="window">
            <v:imagedata r:id="rId15" o:title=""/>
          </v:shape>
          <o:OLEObject Type="Embed" ProgID="Equation.3" ShapeID="_x0000_i1029" DrawAspect="Content" ObjectID="_1540193679" r:id="rId16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gramStart"/>
      <w:r w:rsidR="00B51232"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ому)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lastRenderedPageBreak/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gramStart"/>
      <w:r w:rsidR="0055135E"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ого)</w:t>
      </w:r>
      <w:r w:rsidR="0055135E"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="0055135E" w:rsidRPr="003A61EC">
        <w:rPr>
          <w:sz w:val="24"/>
          <w:szCs w:val="24"/>
        </w:rPr>
        <w:t xml:space="preserve">аявки </w:t>
      </w:r>
      <w:r w:rsidR="005F4BBE">
        <w:rPr>
          <w:sz w:val="24"/>
          <w:szCs w:val="24"/>
        </w:rPr>
        <w:t>Участника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7765F0" w:rsidRPr="003A61EC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Участника</w:t>
      </w:r>
      <w:r w:rsidRPr="003A61EC">
        <w:rPr>
          <w:sz w:val="24"/>
          <w:szCs w:val="24"/>
        </w:rPr>
        <w:t>, имеющ</w:t>
      </w:r>
      <w:r w:rsidR="00E4127D">
        <w:rPr>
          <w:sz w:val="24"/>
          <w:szCs w:val="24"/>
        </w:rPr>
        <w:t>а</w:t>
      </w:r>
      <w:r w:rsidR="00C058C4" w:rsidRPr="003A61EC">
        <w:rPr>
          <w:sz w:val="24"/>
          <w:szCs w:val="24"/>
        </w:rPr>
        <w:t>я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Заявки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7765F0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7765F0" w:rsidRPr="003A61EC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ей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5F4BBE">
        <w:rPr>
          <w:sz w:val="24"/>
          <w:szCs w:val="24"/>
        </w:rPr>
        <w:t>Участников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5F4BBE">
        <w:rPr>
          <w:sz w:val="24"/>
          <w:szCs w:val="24"/>
        </w:rPr>
        <w:t>Участников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5F4BBE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Участника</w:t>
      </w:r>
      <w:r w:rsidRPr="003A61EC">
        <w:rPr>
          <w:sz w:val="24"/>
          <w:szCs w:val="24"/>
        </w:rPr>
        <w:t>, которая подан</w:t>
      </w:r>
      <w:r w:rsidR="00E4127D"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0B56A9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932E6"/>
    <w:rsid w:val="00034A69"/>
    <w:rsid w:val="00040044"/>
    <w:rsid w:val="000932E6"/>
    <w:rsid w:val="000B56A9"/>
    <w:rsid w:val="00147E30"/>
    <w:rsid w:val="001664F0"/>
    <w:rsid w:val="00167746"/>
    <w:rsid w:val="001D42F3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5F4BBE"/>
    <w:rsid w:val="00614767"/>
    <w:rsid w:val="006312DB"/>
    <w:rsid w:val="006357E4"/>
    <w:rsid w:val="00650804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F1EB0"/>
    <w:rsid w:val="00E00DAE"/>
    <w:rsid w:val="00E33DF6"/>
    <w:rsid w:val="00E4127D"/>
    <w:rsid w:val="00E70191"/>
    <w:rsid w:val="00ED1D85"/>
    <w:rsid w:val="00EE31AC"/>
    <w:rsid w:val="00F1250E"/>
    <w:rsid w:val="00F47A9D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4</cp:revision>
  <dcterms:created xsi:type="dcterms:W3CDTF">2016-10-06T06:37:00Z</dcterms:created>
  <dcterms:modified xsi:type="dcterms:W3CDTF">2016-11-09T07:48:00Z</dcterms:modified>
</cp:coreProperties>
</file>