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EC5EE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9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DB6C51">
        <w:t xml:space="preserve"> </w:t>
      </w:r>
      <w:r w:rsidR="00DB6C51" w:rsidRPr="00DB6C51">
        <w:t xml:space="preserve">запасных частей к выключателям/разъединителям </w:t>
      </w:r>
      <w:r w:rsidR="00AA5475" w:rsidRPr="00AA5475">
        <w:t xml:space="preserve"> 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AA5475" w:rsidRPr="00AA5475">
              <w:t>поставку</w:t>
            </w:r>
            <w:r w:rsidR="00DB6C51">
              <w:t xml:space="preserve"> </w:t>
            </w:r>
            <w:r w:rsidR="00DB6C51" w:rsidRPr="00DB6C51">
              <w:t xml:space="preserve">запасных частей к выключателям/разъединителям </w:t>
            </w:r>
            <w:r w:rsidR="00AA5475" w:rsidRPr="00AA5475">
              <w:t xml:space="preserve"> для нужд филиала ПАО "Россети Центр" - "Ярэнерго"</w:t>
            </w:r>
            <w:r w:rsidR="00AA5475">
              <w:t xml:space="preserve">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60B8E">
              <w:rPr>
                <w:rFonts w:eastAsia="Calibri"/>
                <w:sz w:val="22"/>
                <w:szCs w:val="22"/>
                <w:lang w:eastAsia="en-US"/>
              </w:rPr>
              <w:t xml:space="preserve"> В течение </w:t>
            </w:r>
            <w:r w:rsidR="001955F2">
              <w:rPr>
                <w:rFonts w:eastAsia="Calibri"/>
                <w:sz w:val="22"/>
                <w:szCs w:val="22"/>
                <w:lang w:eastAsia="en-US"/>
              </w:rPr>
              <w:t xml:space="preserve">45 календарных </w:t>
            </w:r>
            <w:r w:rsidR="00BD633A">
              <w:rPr>
                <w:rFonts w:eastAsia="Calibri"/>
                <w:sz w:val="22"/>
                <w:szCs w:val="22"/>
                <w:lang w:eastAsia="en-US"/>
              </w:rPr>
              <w:t>дне</w:t>
            </w:r>
            <w:r w:rsidR="00AA5475">
              <w:rPr>
                <w:rFonts w:eastAsia="Calibri"/>
                <w:sz w:val="22"/>
                <w:szCs w:val="22"/>
                <w:lang w:eastAsia="en-US"/>
              </w:rPr>
              <w:t>й с момента</w:t>
            </w:r>
            <w:r w:rsidR="00860B8E">
              <w:rPr>
                <w:rFonts w:eastAsia="Calibri"/>
                <w:sz w:val="22"/>
                <w:szCs w:val="22"/>
                <w:lang w:eastAsia="en-US"/>
              </w:rPr>
              <w:t xml:space="preserve"> заключения договора</w:t>
            </w:r>
            <w:r w:rsidR="00AA5475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860B8E">
              <w:rPr>
                <w:b/>
              </w:rPr>
              <w:t xml:space="preserve">5 220 296,00 </w:t>
            </w:r>
            <w:r>
              <w:rPr>
                <w:szCs w:val="24"/>
              </w:rPr>
              <w:t>(</w:t>
            </w:r>
            <w:r w:rsidR="00860B8E" w:rsidRPr="00860B8E">
              <w:rPr>
                <w:szCs w:val="24"/>
              </w:rPr>
              <w:t>пять миллионов двести двадцать тыс</w:t>
            </w:r>
            <w:r w:rsidR="00860B8E">
              <w:rPr>
                <w:szCs w:val="24"/>
              </w:rPr>
              <w:t>яч двести девяносто шесть</w:t>
            </w:r>
            <w:r>
              <w:rPr>
                <w:szCs w:val="24"/>
              </w:rPr>
              <w:t>) рублей 00 копеек РФ, без учета НДС; НДС составляет</w:t>
            </w:r>
            <w:r w:rsidR="00EC2EB4">
              <w:rPr>
                <w:szCs w:val="24"/>
              </w:rPr>
              <w:t xml:space="preserve"> </w:t>
            </w:r>
            <w:r w:rsidR="00860B8E" w:rsidRPr="00860B8E">
              <w:rPr>
                <w:b/>
                <w:szCs w:val="24"/>
              </w:rPr>
              <w:t>1 044 059,20</w:t>
            </w:r>
            <w:r w:rsidR="00860B8E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860B8E" w:rsidRPr="00860B8E">
              <w:rPr>
                <w:szCs w:val="24"/>
              </w:rPr>
              <w:t>один миллион сорок четыр</w:t>
            </w:r>
            <w:r w:rsidR="00860B8E">
              <w:rPr>
                <w:szCs w:val="24"/>
              </w:rPr>
              <w:t>е тысячи пятьдесят девять) рублей 2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860B8E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 xml:space="preserve">6 264 355,20 </w:t>
            </w:r>
            <w:r>
              <w:rPr>
                <w:szCs w:val="24"/>
              </w:rPr>
              <w:t>(</w:t>
            </w:r>
            <w:r w:rsidR="00860B8E" w:rsidRPr="00860B8E">
              <w:rPr>
                <w:szCs w:val="24"/>
              </w:rPr>
              <w:t>шесть миллионов двести шестьдесят четыре тысячи триста пятьде</w:t>
            </w:r>
            <w:r w:rsidR="00860B8E">
              <w:rPr>
                <w:szCs w:val="24"/>
              </w:rPr>
              <w:t>сят пять) рублей  2</w:t>
            </w:r>
            <w:bookmarkStart w:id="1" w:name="_GoBack"/>
            <w:bookmarkEnd w:id="1"/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3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803FE4">
              <w:rPr>
                <w:b/>
                <w:bCs/>
              </w:rPr>
              <w:t>21</w:t>
            </w:r>
            <w:r w:rsidR="0010539B">
              <w:rPr>
                <w:b/>
                <w:bCs/>
              </w:rPr>
              <w:t xml:space="preserve"> </w:t>
            </w:r>
            <w:r w:rsidR="00F01570">
              <w:rPr>
                <w:b/>
                <w:bCs/>
              </w:rPr>
              <w:t xml:space="preserve">марта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803FE4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 xml:space="preserve">29 </w:t>
            </w:r>
            <w:r w:rsidR="0010539B">
              <w:rPr>
                <w:b/>
                <w:bCs/>
              </w:rPr>
              <w:t>марта</w:t>
            </w:r>
            <w:r w:rsidR="00575A33">
              <w:rPr>
                <w:b/>
                <w:bCs/>
              </w:rPr>
              <w:t xml:space="preserve"> 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803FE4">
              <w:rPr>
                <w:b/>
              </w:rPr>
              <w:t>05</w:t>
            </w:r>
            <w:r w:rsidR="00F01570">
              <w:rPr>
                <w:b/>
              </w:rPr>
              <w:t xml:space="preserve"> </w:t>
            </w:r>
            <w:r w:rsidR="00803FE4">
              <w:rPr>
                <w:b/>
              </w:rPr>
              <w:t xml:space="preserve"> апреля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803FE4">
              <w:rPr>
                <w:b/>
              </w:rPr>
              <w:t>06</w:t>
            </w:r>
            <w:r w:rsidR="00F01570">
              <w:rPr>
                <w:b/>
              </w:rPr>
              <w:t xml:space="preserve"> </w:t>
            </w:r>
            <w:r w:rsidR="00851A35">
              <w:rPr>
                <w:b/>
                <w:bCs/>
              </w:rPr>
              <w:t>апреля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Подробный порядок проведения закупки, а также порядок проведения каждого этапа закупки определяется </w:t>
            </w:r>
            <w:r>
              <w:lastRenderedPageBreak/>
              <w:t>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4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footerReference w:type="even" r:id="rId15"/>
      <w:footerReference w:type="default" r:id="rId16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EB" w:rsidRDefault="00EC5EEB">
      <w:r>
        <w:separator/>
      </w:r>
    </w:p>
  </w:endnote>
  <w:endnote w:type="continuationSeparator" w:id="0">
    <w:p w:rsidR="00EC5EEB" w:rsidRDefault="00E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60B8E">
      <w:rPr>
        <w:rStyle w:val="ab"/>
        <w:noProof/>
      </w:rPr>
      <w:t>6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EB" w:rsidRDefault="00EC5EEB">
      <w:r>
        <w:separator/>
      </w:r>
    </w:p>
  </w:footnote>
  <w:footnote w:type="continuationSeparator" w:id="0">
    <w:p w:rsidR="00EC5EEB" w:rsidRDefault="00EC5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10539B"/>
    <w:rsid w:val="001955F2"/>
    <w:rsid w:val="001B182F"/>
    <w:rsid w:val="0038379E"/>
    <w:rsid w:val="003D460A"/>
    <w:rsid w:val="003F51A4"/>
    <w:rsid w:val="004B4E4D"/>
    <w:rsid w:val="00575A33"/>
    <w:rsid w:val="006519EC"/>
    <w:rsid w:val="007C2198"/>
    <w:rsid w:val="00803FE4"/>
    <w:rsid w:val="00851A35"/>
    <w:rsid w:val="00860B8E"/>
    <w:rsid w:val="009D717F"/>
    <w:rsid w:val="00A1398F"/>
    <w:rsid w:val="00AA5475"/>
    <w:rsid w:val="00BD633A"/>
    <w:rsid w:val="00C478BE"/>
    <w:rsid w:val="00DB464C"/>
    <w:rsid w:val="00DB6C51"/>
    <w:rsid w:val="00EB670C"/>
    <w:rsid w:val="00EC2EB4"/>
    <w:rsid w:val="00EC5819"/>
    <w:rsid w:val="00EC5EEB"/>
    <w:rsid w:val="00F01570"/>
    <w:rsid w:val="00F16F99"/>
    <w:rsid w:val="00F61510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8EEC-DBB5-4C51-8644-4A774B37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52</cp:revision>
  <dcterms:created xsi:type="dcterms:W3CDTF">2021-08-17T07:59:00Z</dcterms:created>
  <dcterms:modified xsi:type="dcterms:W3CDTF">2023-03-21T13:07:00Z</dcterms:modified>
  <cp:version>917504</cp:version>
</cp:coreProperties>
</file>