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CA" w:rsidRPr="00C25A46" w:rsidRDefault="00F224FF" w:rsidP="00C25A4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C739CA" w:rsidRPr="007330F5">
        <w:rPr>
          <w:rFonts w:ascii="Times New Roman" w:hAnsi="Times New Roman"/>
          <w:b/>
          <w:sz w:val="24"/>
          <w:szCs w:val="24"/>
        </w:rPr>
        <w:t>“УТВЕРЖДАЮ”</w:t>
      </w:r>
      <w:r w:rsidR="00C739C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25A46">
        <w:rPr>
          <w:rFonts w:ascii="Times New Roman" w:hAnsi="Times New Roman"/>
          <w:sz w:val="24"/>
          <w:szCs w:val="24"/>
        </w:rPr>
        <w:t xml:space="preserve">   </w:t>
      </w:r>
      <w:r w:rsidR="00E320DB">
        <w:rPr>
          <w:rFonts w:ascii="Times New Roman" w:hAnsi="Times New Roman"/>
          <w:sz w:val="24"/>
          <w:szCs w:val="24"/>
        </w:rPr>
        <w:t>Первый заместитель</w:t>
      </w:r>
      <w:r w:rsidR="00C739CA">
        <w:rPr>
          <w:rFonts w:ascii="Times New Roman" w:hAnsi="Times New Roman"/>
          <w:sz w:val="24"/>
          <w:szCs w:val="24"/>
        </w:rPr>
        <w:t xml:space="preserve"> директора-</w:t>
      </w:r>
    </w:p>
    <w:p w:rsidR="00C739CA" w:rsidRDefault="00E320DB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C739CA">
        <w:rPr>
          <w:rFonts w:ascii="Times New Roman" w:hAnsi="Times New Roman"/>
          <w:sz w:val="24"/>
          <w:szCs w:val="24"/>
        </w:rPr>
        <w:t xml:space="preserve"> инженер</w:t>
      </w:r>
      <w:r w:rsidR="001E1457">
        <w:rPr>
          <w:rFonts w:ascii="Times New Roman" w:hAnsi="Times New Roman"/>
          <w:sz w:val="24"/>
          <w:szCs w:val="24"/>
        </w:rPr>
        <w:t xml:space="preserve"> филиала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877539">
        <w:rPr>
          <w:rFonts w:ascii="Times New Roman" w:hAnsi="Times New Roman"/>
          <w:sz w:val="24"/>
          <w:szCs w:val="24"/>
        </w:rPr>
        <w:t>ПАО «МРСК Центра» -«Орелэнерго»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r w:rsidRPr="007330F5">
        <w:rPr>
          <w:rFonts w:ascii="Times New Roman" w:hAnsi="Times New Roman"/>
          <w:sz w:val="24"/>
          <w:szCs w:val="24"/>
        </w:rPr>
        <w:t>/</w:t>
      </w:r>
      <w:r w:rsidR="00510FA2">
        <w:rPr>
          <w:rFonts w:ascii="Times New Roman" w:hAnsi="Times New Roman"/>
          <w:sz w:val="24"/>
          <w:szCs w:val="24"/>
        </w:rPr>
        <w:t>И.В. Колубанов</w:t>
      </w:r>
    </w:p>
    <w:p w:rsidR="00D802D5" w:rsidRDefault="00C739CA" w:rsidP="00C25A46">
      <w:pPr>
        <w:spacing w:line="276" w:lineRule="auto"/>
        <w:ind w:right="-2" w:firstLine="0"/>
        <w:jc w:val="right"/>
        <w:rPr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96048B">
        <w:rPr>
          <w:sz w:val="24"/>
          <w:szCs w:val="24"/>
        </w:rPr>
        <w:t xml:space="preserve">__” ________________ 202  </w:t>
      </w:r>
      <w:bookmarkStart w:id="0" w:name="_GoBack"/>
      <w:bookmarkEnd w:id="0"/>
      <w:r w:rsidRPr="007330F5">
        <w:rPr>
          <w:sz w:val="24"/>
          <w:szCs w:val="24"/>
        </w:rPr>
        <w:t xml:space="preserve"> г.</w:t>
      </w:r>
    </w:p>
    <w:p w:rsidR="00AD5E27" w:rsidRPr="00AD5E27" w:rsidRDefault="00AD5E27" w:rsidP="00AD5E27">
      <w:pPr>
        <w:spacing w:line="276" w:lineRule="auto"/>
        <w:ind w:right="-2" w:firstLine="0"/>
        <w:jc w:val="center"/>
        <w:rPr>
          <w:caps/>
          <w:sz w:val="26"/>
          <w:szCs w:val="26"/>
        </w:rPr>
      </w:pPr>
    </w:p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7B14B4" w:rsidRPr="00044AD9" w:rsidRDefault="007B14B4" w:rsidP="007B14B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EE0F10" w:rsidRDefault="004F4E9E" w:rsidP="007B14B4">
      <w:pPr>
        <w:pStyle w:val="ad"/>
        <w:numPr>
          <w:ilvl w:val="1"/>
          <w:numId w:val="3"/>
        </w:numPr>
        <w:tabs>
          <w:tab w:val="left" w:pos="0"/>
        </w:tabs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7B14B4" w:rsidRDefault="007B14B4" w:rsidP="007B14B4">
      <w:pPr>
        <w:pStyle w:val="ad"/>
        <w:tabs>
          <w:tab w:val="left" w:pos="0"/>
        </w:tabs>
        <w:ind w:left="1429" w:firstLine="0"/>
        <w:rPr>
          <w:sz w:val="24"/>
          <w:szCs w:val="24"/>
        </w:rPr>
      </w:pPr>
    </w:p>
    <w:tbl>
      <w:tblPr>
        <w:tblStyle w:val="ab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922"/>
        <w:gridCol w:w="895"/>
      </w:tblGrid>
      <w:tr w:rsidR="00696C69" w:rsidTr="00DF5AF7">
        <w:tc>
          <w:tcPr>
            <w:tcW w:w="1673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7922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89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Количество, шт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732291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Кресло для персонала</w:t>
            </w:r>
          </w:p>
        </w:tc>
        <w:tc>
          <w:tcPr>
            <w:tcW w:w="7922" w:type="dxa"/>
            <w:vAlign w:val="center"/>
          </w:tcPr>
          <w:p w:rsidR="007028E7" w:rsidRDefault="007028E7" w:rsidP="007028E7">
            <w:pPr>
              <w:pStyle w:val="af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Кресло для персонала</w:t>
            </w:r>
            <w:r w:rsidRPr="00CA10D2">
              <w:rPr>
                <w:sz w:val="20"/>
                <w:szCs w:val="20"/>
              </w:rPr>
              <w:t xml:space="preserve"> — экономичная модель офисного кресла.</w:t>
            </w:r>
            <w:r w:rsidRPr="00CA10D2">
              <w:rPr>
                <w:sz w:val="20"/>
                <w:szCs w:val="20"/>
              </w:rPr>
              <w:br/>
              <w:t>Технические характеристики: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CA10D2">
              <w:rPr>
                <w:sz w:val="20"/>
                <w:szCs w:val="20"/>
              </w:rPr>
              <w:t>Крестовина: «Мозес» -цельнолитая пластиковая (материал — полиамид стеклонаполненный).</w:t>
            </w:r>
            <w:r w:rsidRPr="00CA10D2">
              <w:rPr>
                <w:sz w:val="20"/>
                <w:szCs w:val="20"/>
              </w:rPr>
              <w:br/>
              <w:t>Подлокотники: кресло комплектуется подлокотником «Самба».</w:t>
            </w:r>
            <w:r w:rsidRPr="00CA10D2">
              <w:rPr>
                <w:sz w:val="20"/>
                <w:szCs w:val="20"/>
              </w:rPr>
              <w:br/>
              <w:t>Обивочные материалы: «В», «ТW»,»КВ», «Z», «Т», «Заменитель кожи КО».</w:t>
            </w:r>
            <w:r w:rsidRPr="00CA10D2">
              <w:rPr>
                <w:sz w:val="20"/>
                <w:szCs w:val="20"/>
              </w:rPr>
              <w:br/>
              <w:t>Газпатрон: стандартный газпатрон марки WDF 2-й категории стабильности по DIN 4550 .</w:t>
            </w:r>
            <w:r w:rsidRPr="00CA10D2">
              <w:rPr>
                <w:sz w:val="20"/>
                <w:szCs w:val="20"/>
              </w:rPr>
              <w:br/>
              <w:t>Механизм: соединитель СРТ / пружинно- винтово</w:t>
            </w:r>
            <w:r>
              <w:rPr>
                <w:sz w:val="20"/>
                <w:szCs w:val="20"/>
              </w:rPr>
              <w:t>й механизм</w:t>
            </w:r>
            <w:r w:rsidRPr="00CA10D2">
              <w:rPr>
                <w:sz w:val="20"/>
                <w:szCs w:val="20"/>
              </w:rPr>
              <w:t>.</w:t>
            </w:r>
            <w:r w:rsidRPr="00CA10D2">
              <w:rPr>
                <w:sz w:val="20"/>
                <w:szCs w:val="20"/>
              </w:rPr>
              <w:br/>
              <w:t>Ролик: стандартный ролик, диаметр штока</w:t>
            </w:r>
            <w:r>
              <w:rPr>
                <w:sz w:val="20"/>
                <w:szCs w:val="20"/>
              </w:rPr>
              <w:t xml:space="preserve"> 11 мм.                                                              </w:t>
            </w:r>
            <w:r w:rsidRPr="00CA10D2">
              <w:rPr>
                <w:sz w:val="20"/>
                <w:szCs w:val="20"/>
              </w:rPr>
              <w:t>Габариты: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b/>
                <w:bCs/>
                <w:sz w:val="20"/>
                <w:szCs w:val="20"/>
              </w:rPr>
              <w:t>Размеры коробки:</w:t>
            </w:r>
            <w:r w:rsidRPr="00CA10D2">
              <w:rPr>
                <w:sz w:val="20"/>
                <w:szCs w:val="20"/>
              </w:rPr>
              <w:t xml:space="preserve"> 600/257/580 мм.</w:t>
            </w:r>
            <w:r w:rsidRPr="00CA10D2">
              <w:rPr>
                <w:sz w:val="20"/>
                <w:szCs w:val="20"/>
              </w:rPr>
              <w:br/>
              <w:t>Объем коробки: 0.11 куб. м.</w:t>
            </w:r>
            <w:r w:rsidRPr="00CA10D2">
              <w:rPr>
                <w:sz w:val="20"/>
                <w:szCs w:val="20"/>
              </w:rPr>
              <w:br/>
              <w:t>Вес: 10 кг.</w:t>
            </w:r>
            <w:r>
              <w:rPr>
                <w:sz w:val="20"/>
                <w:szCs w:val="20"/>
              </w:rPr>
              <w:t xml:space="preserve"> Цвет черный.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615AE47" wp14:editId="08CB7AFD">
                  <wp:extent cx="1446470" cy="1321435"/>
                  <wp:effectExtent l="0" t="0" r="1905" b="0"/>
                  <wp:docPr id="3" name="Рисунок 3" descr="престиж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естиж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132" cy="1345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13A014C" wp14:editId="29507BBB">
                  <wp:extent cx="1264920" cy="1285618"/>
                  <wp:effectExtent l="0" t="0" r="0" b="0"/>
                  <wp:docPr id="5" name="Рисунок 5" descr="Кресло операто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есло операто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876" cy="1315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F95" w:rsidRPr="00452A0B" w:rsidRDefault="00193F95" w:rsidP="007028E7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7028E7" w:rsidRPr="00CA10D2" w:rsidRDefault="007028E7" w:rsidP="007028E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58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Стул </w:t>
            </w:r>
          </w:p>
        </w:tc>
        <w:tc>
          <w:tcPr>
            <w:tcW w:w="7922" w:type="dxa"/>
            <w:vAlign w:val="center"/>
          </w:tcPr>
          <w:p w:rsidR="007028E7" w:rsidRDefault="007028E7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Каркас: сварная рама </w:t>
            </w:r>
            <w:r w:rsidRPr="00862E5B">
              <w:t>из ов</w:t>
            </w:r>
            <w:r>
              <w:t>ального металлического профиля диам.</w:t>
            </w:r>
            <w:r w:rsidRPr="00862E5B">
              <w:t>1,3мм;  </w:t>
            </w:r>
            <w:r>
              <w:t xml:space="preserve">                                                                                                                   </w:t>
            </w:r>
            <w:r w:rsidRPr="00862E5B">
              <w:t xml:space="preserve">Каркас может быть двух вариантов: </w:t>
            </w:r>
            <w:hyperlink r:id="rId13" w:tgtFrame="_blank" w:tooltip="стул офисный ИЗО каркас черный" w:history="1">
              <w:r w:rsidRPr="00862E5B">
                <w:t xml:space="preserve">черный ( полимерное покрытие "черный муар") </w:t>
              </w:r>
            </w:hyperlink>
            <w:r w:rsidRPr="00862E5B">
              <w:t>, или  хр</w:t>
            </w:r>
            <w:r>
              <w:t>омированный(гальванизированный</w:t>
            </w:r>
            <w:r w:rsidRPr="00862E5B">
              <w:t>металл). </w:t>
            </w:r>
            <w:r>
              <w:t xml:space="preserve">                                                                  Варианты обивки</w:t>
            </w:r>
            <w:r w:rsidRPr="00862E5B">
              <w:t>:  мебельная ткань, кожзам, ЭКО-кожа, микрофибра, велюр</w:t>
            </w:r>
            <w:r>
              <w:t>.                Цвет</w:t>
            </w:r>
            <w:r w:rsidR="00967811">
              <w:t>: черный</w:t>
            </w:r>
            <w:r>
              <w:t xml:space="preserve">                                   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485900" cy="1152525"/>
                  <wp:effectExtent l="0" t="0" r="0" b="9525"/>
                  <wp:docPr id="9" name="Рисунок 9" descr="https://www.ofsi.ru/upload/iblock/957/53025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ofsi.ru/upload/iblock/957/53025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4B4" w:rsidRPr="00EE0F10" w:rsidRDefault="007B14B4" w:rsidP="007B14B4">
            <w:pPr>
              <w:pStyle w:val="ad"/>
              <w:tabs>
                <w:tab w:val="left" w:pos="0"/>
              </w:tabs>
              <w:ind w:left="0" w:firstLine="0"/>
            </w:pPr>
          </w:p>
        </w:tc>
        <w:tc>
          <w:tcPr>
            <w:tcW w:w="895" w:type="dxa"/>
          </w:tcPr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947B42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7028E7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117</w:t>
            </w:r>
          </w:p>
        </w:tc>
      </w:tr>
      <w:tr w:rsidR="00696C69" w:rsidTr="00DF5AF7">
        <w:tc>
          <w:tcPr>
            <w:tcW w:w="1673" w:type="dxa"/>
            <w:vAlign w:val="center"/>
          </w:tcPr>
          <w:p w:rsidR="005263DD" w:rsidRPr="00EE0F10" w:rsidRDefault="00510FA2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Стул </w:t>
            </w:r>
            <w:r w:rsidR="005263DD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7922" w:type="dxa"/>
            <w:vAlign w:val="center"/>
          </w:tcPr>
          <w:p w:rsidR="00862E5B" w:rsidRDefault="00696C69" w:rsidP="00862E5B">
            <w:pPr>
              <w:spacing w:before="100" w:beforeAutospacing="1" w:after="100" w:afterAutospacing="1"/>
              <w:ind w:firstLine="0"/>
              <w:jc w:val="left"/>
            </w:pPr>
            <w:r>
              <w:t xml:space="preserve">Каркас: сварная рама </w:t>
            </w:r>
            <w:r w:rsidR="00862E5B" w:rsidRPr="00862E5B">
              <w:t>из ов</w:t>
            </w:r>
            <w:r>
              <w:t>ального металлического профиля диам.</w:t>
            </w:r>
            <w:r w:rsidR="00862E5B" w:rsidRPr="00862E5B">
              <w:t>1,3мм;  </w:t>
            </w:r>
            <w:r w:rsidR="00862E5B">
              <w:t xml:space="preserve">                                                                                                             </w:t>
            </w:r>
            <w:r>
              <w:t xml:space="preserve">      </w:t>
            </w:r>
            <w:r w:rsidR="00862E5B" w:rsidRPr="00862E5B">
              <w:t xml:space="preserve">Каркас может быть двух вариантов: </w:t>
            </w:r>
            <w:hyperlink r:id="rId15" w:tgtFrame="_blank" w:tooltip="стул офисный ИЗО каркас черный" w:history="1">
              <w:r w:rsidR="00862E5B" w:rsidRPr="00862E5B">
                <w:t xml:space="preserve">черный ( полимерное покрытие "черный муар") </w:t>
              </w:r>
            </w:hyperlink>
            <w:r w:rsidR="00862E5B" w:rsidRPr="00862E5B">
              <w:t>, или  хр</w:t>
            </w:r>
            <w:r>
              <w:t>омированный(гальванизированный</w:t>
            </w:r>
            <w:r w:rsidR="00862E5B" w:rsidRPr="00862E5B">
              <w:t>металл). </w:t>
            </w:r>
            <w:r w:rsidR="00862E5B">
              <w:t xml:space="preserve">                                             </w:t>
            </w:r>
            <w:r>
              <w:t xml:space="preserve">                     Варианты обивки</w:t>
            </w:r>
            <w:r w:rsidR="00862E5B" w:rsidRPr="00862E5B">
              <w:t>:  мебельная ткань, кожзам, ЭКО-кожа, микрофибра, велюр</w:t>
            </w:r>
            <w:r w:rsidR="00862E5B">
              <w:t xml:space="preserve">.        </w:t>
            </w:r>
            <w:r w:rsidR="00967811">
              <w:t xml:space="preserve">       </w:t>
            </w:r>
            <w:r w:rsidR="00862E5B">
              <w:t xml:space="preserve">          </w:t>
            </w:r>
            <w:r>
              <w:t xml:space="preserve">                                                                                                      Наполнитель</w:t>
            </w:r>
            <w:r w:rsidR="00862E5B" w:rsidRPr="00862E5B">
              <w:t>:  Стандартный поролон плотности 25-40 кг/м3</w:t>
            </w:r>
            <w:r w:rsidR="00862E5B">
              <w:t>.                                 П</w:t>
            </w:r>
            <w:r w:rsidR="00862E5B" w:rsidRPr="00862E5B">
              <w:t>лас</w:t>
            </w:r>
            <w:r w:rsidR="00862E5B">
              <w:t>тиковые заглушки на концах опор.                                                                            Рекомендованная максимальная нагрузка 120 кг.</w:t>
            </w:r>
            <w:r w:rsidR="00862E5B">
              <w:rPr>
                <w:sz w:val="18"/>
                <w:szCs w:val="18"/>
              </w:rPr>
              <w:t xml:space="preserve">                                                                              Цвет –черный.</w:t>
            </w:r>
          </w:p>
          <w:p w:rsidR="005263DD" w:rsidRPr="00EE0F10" w:rsidRDefault="00862E5B" w:rsidP="007B14B4">
            <w:pPr>
              <w:spacing w:before="100" w:beforeAutospacing="1" w:after="100" w:afterAutospacing="1"/>
              <w:ind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87755" cy="955610"/>
                  <wp:effectExtent l="0" t="0" r="0" b="0"/>
                  <wp:docPr id="7" name="Рисунок 7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83" cy="977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70354" cy="988695"/>
                  <wp:effectExtent l="0" t="0" r="0" b="1905"/>
                  <wp:docPr id="8" name="Рисунок 8" descr="https://plazmagrad.ru/image/cache/catalog/MEBEL/stulya/izo_stul14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lazmagrad.ru/image/cache/catalog/MEBEL/stulya/izo_stul14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33" cy="102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dxa"/>
          </w:tcPr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Default="007028E7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67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одежды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266825"/>
                  <wp:effectExtent l="0" t="0" r="0" b="9525"/>
                  <wp:docPr id="10" name="Рисунок 10" descr="https://mytehno.ru/image/cache/catalog/API9d6b6f110151ea4dec1c4a56d4bcb839/nabor-mebeli-monolit/IMG28416a8312d8101b3cdad911c2d1a966-1200x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ytehno.ru/image/cache/catalog/API9d6b6f110151ea4dec1c4a56d4bcb839/nabor-mebeli-monolit/IMG28416a8312d8101b3cdad911c2d1a966-1200x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Размеры </w:t>
            </w:r>
            <w:r w:rsidR="009B5F37">
              <w:rPr>
                <w:color w:val="000000"/>
                <w:shd w:val="clear" w:color="auto" w:fill="FFFFFF"/>
              </w:rPr>
              <w:t>740*520*2050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7028E7" w:rsidRPr="007B14B4" w:rsidRDefault="009B5F37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документов</w:t>
            </w:r>
          </w:p>
        </w:tc>
        <w:tc>
          <w:tcPr>
            <w:tcW w:w="7922" w:type="dxa"/>
            <w:vAlign w:val="center"/>
          </w:tcPr>
          <w:p w:rsidR="009B5F37" w:rsidRPr="003E75D6" w:rsidRDefault="00947B42" w:rsidP="009B5F37">
            <w:pPr>
              <w:jc w:val="left"/>
              <w:rPr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885825" cy="923925"/>
                  <wp:effectExtent l="0" t="0" r="9525" b="9525"/>
                  <wp:docPr id="11" name="Рисунок 11" descr="https://algidokants.ru/images/detailed/3806/eca137206998ee40d2f5136f2d3dfb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lgidokants.ru/images/detailed/3806/eca137206998ee40d2f5136f2d3dfb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3E75D6">
              <w:t xml:space="preserve"> Размеры </w:t>
            </w:r>
            <w:r w:rsidR="009B5F37">
              <w:rPr>
                <w:color w:val="000000"/>
                <w:shd w:val="clear" w:color="auto" w:fill="FFFFFF"/>
              </w:rPr>
              <w:t>770*370*2000</w:t>
            </w:r>
            <w:r w:rsidR="009B5F37" w:rsidRPr="003E75D6">
              <w:rPr>
                <w:color w:val="000000"/>
                <w:shd w:val="clear" w:color="auto" w:fill="FFFFFF"/>
              </w:rPr>
              <w:t xml:space="preserve">  </w:t>
            </w:r>
          </w:p>
          <w:p w:rsidR="007028E7" w:rsidRPr="007B14B4" w:rsidRDefault="009B5F37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>
              <w:t xml:space="preserve">. Цвет: ольха. </w:t>
            </w:r>
            <w:r w:rsidRPr="0055485F">
              <w:t>При сборке испо</w:t>
            </w:r>
            <w:r w:rsidR="008E17A4">
              <w:t xml:space="preserve">льзуются эксцентриковые стяжки, </w:t>
            </w:r>
            <w:r w:rsidR="008E17A4" w:rsidRPr="008E17A4">
              <w:t>без стекла, открытый верх</w:t>
            </w:r>
            <w:r w:rsidR="008E17A4" w:rsidRPr="00902D8B">
              <w:rPr>
                <w:b/>
                <w:sz w:val="24"/>
                <w:szCs w:val="24"/>
              </w:rPr>
              <w:t>.</w:t>
            </w:r>
            <w:r w:rsidR="008E17A4">
              <w:rPr>
                <w:b/>
                <w:sz w:val="24"/>
                <w:szCs w:val="24"/>
              </w:rPr>
              <w:t xml:space="preserve"> </w:t>
            </w:r>
            <w:r w:rsidRPr="0055485F">
              <w:t>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7028E7" w:rsidTr="00DF5AF7">
        <w:tc>
          <w:tcPr>
            <w:tcW w:w="1673" w:type="dxa"/>
            <w:vAlign w:val="center"/>
          </w:tcPr>
          <w:p w:rsidR="007028E7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</w:t>
            </w:r>
          </w:p>
        </w:tc>
        <w:tc>
          <w:tcPr>
            <w:tcW w:w="7922" w:type="dxa"/>
            <w:vAlign w:val="center"/>
          </w:tcPr>
          <w:p w:rsidR="006B7201" w:rsidRPr="0055485F" w:rsidRDefault="00947B42" w:rsidP="006B7201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6325" cy="752475"/>
                  <wp:effectExtent l="0" t="0" r="9525" b="9525"/>
                  <wp:docPr id="12" name="Рисунок 12" descr="https://petrovsk.gip1.ru/foto/1b-3efe5b903acad44644cea31f3c227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etrovsk.gip1.ru/foto/1b-3efe5b903acad44644cea31f3c227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7201" w:rsidRPr="0055485F">
              <w:t xml:space="preserve"> Размеры </w:t>
            </w:r>
            <w:r w:rsidR="009B5F37">
              <w:t>1200*6</w:t>
            </w:r>
            <w:r w:rsidR="006B7201" w:rsidRPr="0055485F">
              <w:t>00*750</w:t>
            </w:r>
          </w:p>
          <w:p w:rsidR="007028E7" w:rsidRPr="007B14B4" w:rsidRDefault="006B7201" w:rsidP="007B14B4">
            <w:pPr>
              <w:ind w:firstLine="0"/>
              <w:jc w:val="center"/>
              <w:rPr>
                <w:b/>
                <w:color w:val="000000"/>
              </w:rPr>
            </w:pPr>
            <w:r w:rsidRPr="0055485F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55485F">
                <w:t>2 мм</w:t>
              </w:r>
            </w:smartTag>
            <w:r w:rsidR="009B5F37">
              <w:t>. Цвет: ольха.</w:t>
            </w:r>
            <w:r w:rsidRPr="0055485F">
              <w:t xml:space="preserve"> Толщина столешницы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Pr="0055485F">
              <w:t xml:space="preserve">, каркас стола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55485F">
                <w:t>25 мм</w:t>
              </w:r>
            </w:smartTag>
            <w:r w:rsidR="009B5F37">
              <w:t xml:space="preserve">. </w:t>
            </w:r>
            <w:r w:rsidRPr="0055485F">
              <w:t>При сборке используются эксцентриковые стяжки. Поставляется в разобранном виде.</w:t>
            </w:r>
          </w:p>
        </w:tc>
        <w:tc>
          <w:tcPr>
            <w:tcW w:w="895" w:type="dxa"/>
          </w:tcPr>
          <w:p w:rsidR="007028E7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  <w:tr w:rsidR="00947B42" w:rsidTr="00DF5AF7">
        <w:tc>
          <w:tcPr>
            <w:tcW w:w="1673" w:type="dxa"/>
            <w:vAlign w:val="center"/>
          </w:tcPr>
          <w:p w:rsidR="00947B42" w:rsidRDefault="00947B4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Стол письменный угловой</w:t>
            </w:r>
          </w:p>
        </w:tc>
        <w:tc>
          <w:tcPr>
            <w:tcW w:w="7922" w:type="dxa"/>
            <w:vAlign w:val="center"/>
          </w:tcPr>
          <w:p w:rsidR="009B5F37" w:rsidRPr="00C366E4" w:rsidRDefault="00BE706F" w:rsidP="009B5F37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5350" cy="1038225"/>
                  <wp:effectExtent l="0" t="0" r="0" b="9525"/>
                  <wp:docPr id="13" name="Рисунок 13" descr="https://arsenal007.ru/upload/iblock/73d/stol-pismennyy-uglovoy-levostoron-skyland-imago-grusha-aroza-1600-1200-750-sa-4l-pod-zakaz-art-sk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senal007.ru/upload/iblock/73d/stol-pismennyy-uglovoy-levostoron-skyland-imago-grusha-aroza-1600-1200-750-sa-4l-pod-zakaz-art-sk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5F37" w:rsidRPr="00C366E4">
              <w:t xml:space="preserve"> Размеры 1400*900*750</w:t>
            </w:r>
          </w:p>
          <w:p w:rsidR="009B5F37" w:rsidRPr="00C366E4" w:rsidRDefault="009B5F37" w:rsidP="009B5F37">
            <w:pPr>
              <w:ind w:firstLine="0"/>
              <w:jc w:val="left"/>
              <w:rPr>
                <w:b/>
                <w:color w:val="000000"/>
              </w:rPr>
            </w:pPr>
            <w:r w:rsidRPr="00C366E4">
              <w:t xml:space="preserve">Материал: ЛДСП, Облицовка кромки - ABS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C366E4">
                <w:t>2 мм</w:t>
              </w:r>
            </w:smartTag>
            <w:r>
              <w:t>. Цвет: ольха</w:t>
            </w:r>
            <w:r w:rsidRPr="00C366E4">
              <w:t xml:space="preserve"> Толщина столешницы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C366E4">
                <w:t>25 мм</w:t>
              </w:r>
            </w:smartTag>
            <w:r w:rsidRPr="00C366E4">
              <w:t>, каркас стола 25 м</w:t>
            </w:r>
            <w:r>
              <w:t>м</w:t>
            </w:r>
            <w:r w:rsidRPr="00C366E4">
              <w:t xml:space="preserve"> При сборке используются эксцентриковые стяжки. Поставляется в разобранном виде</w:t>
            </w:r>
          </w:p>
          <w:p w:rsidR="00947B42" w:rsidRDefault="00947B42" w:rsidP="00862E5B">
            <w:pPr>
              <w:spacing w:before="100" w:beforeAutospacing="1" w:after="100" w:afterAutospacing="1"/>
              <w:ind w:firstLine="0"/>
              <w:jc w:val="left"/>
            </w:pPr>
          </w:p>
        </w:tc>
        <w:tc>
          <w:tcPr>
            <w:tcW w:w="895" w:type="dxa"/>
          </w:tcPr>
          <w:p w:rsidR="00947B42" w:rsidRPr="00862E5B" w:rsidRDefault="00947B42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</w:tr>
    </w:tbl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8E17A4" w:rsidRDefault="008E17A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7B14B4" w:rsidRDefault="007B14B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8E17A4" w:rsidRPr="00EE0F10" w:rsidRDefault="008E17A4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5D17A5" w:rsidRDefault="00BD7FD7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F34F9" w:rsidRPr="00044AD9" w:rsidRDefault="00BF34F9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8675D1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D7FD7"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 w:rsidR="00BD7FD7">
        <w:rPr>
          <w:sz w:val="24"/>
          <w:szCs w:val="24"/>
        </w:rPr>
        <w:t>.</w:t>
      </w:r>
      <w:r w:rsidR="00BD7FD7" w:rsidRPr="00BD7FD7">
        <w:rPr>
          <w:sz w:val="24"/>
          <w:szCs w:val="24"/>
        </w:rPr>
        <w:t xml:space="preserve">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>
        <w:rPr>
          <w:szCs w:val="24"/>
        </w:rPr>
        <w:t>Поставляемая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продукция </w:t>
      </w:r>
      <w:r w:rsidRPr="00D20D60">
        <w:rPr>
          <w:szCs w:val="24"/>
        </w:rPr>
        <w:t>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</w:t>
      </w:r>
      <w:r>
        <w:rPr>
          <w:szCs w:val="24"/>
        </w:rPr>
        <w:t>продукции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Pr="00F60654">
        <w:rPr>
          <w:szCs w:val="24"/>
        </w:rPr>
        <w:t xml:space="preserve">г. Орел, </w:t>
      </w:r>
      <w:r w:rsidRPr="00F0668F">
        <w:rPr>
          <w:szCs w:val="24"/>
        </w:rPr>
        <w:t>ул. Высоковольтная, д. 9</w:t>
      </w:r>
      <w:r>
        <w:rPr>
          <w:szCs w:val="24"/>
        </w:rPr>
        <w:t>.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675D1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Pr="00C47B05">
        <w:rPr>
          <w:szCs w:val="24"/>
        </w:rPr>
        <w:t>или иным документам, предусмотренным договором поставки.</w:t>
      </w:r>
    </w:p>
    <w:p w:rsidR="00BF34F9" w:rsidRDefault="008675D1" w:rsidP="008675D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 </w:t>
      </w:r>
      <w:r w:rsidRPr="00C47B05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BC6A17" w:rsidRDefault="00AD5E27" w:rsidP="00BC6A17">
      <w:pPr>
        <w:pStyle w:val="ad"/>
        <w:numPr>
          <w:ilvl w:val="0"/>
          <w:numId w:val="3"/>
        </w:numPr>
        <w:tabs>
          <w:tab w:val="left" w:pos="1134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 w:rsidR="00BC6A17">
        <w:rPr>
          <w:b/>
          <w:bCs/>
          <w:sz w:val="26"/>
          <w:szCs w:val="26"/>
        </w:rPr>
        <w:t>Сроки поставки.</w:t>
      </w:r>
    </w:p>
    <w:p w:rsidR="00BC6A17" w:rsidRPr="00BC6A17" w:rsidRDefault="009068E1" w:rsidP="00BC6A17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9068E1">
        <w:rPr>
          <w:sz w:val="24"/>
          <w:szCs w:val="24"/>
        </w:rPr>
        <w:t>течение 30 календарных дней с момента заключения договора</w:t>
      </w:r>
      <w:r w:rsidR="00647F78">
        <w:rPr>
          <w:sz w:val="24"/>
          <w:szCs w:val="24"/>
        </w:rPr>
        <w:t>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1"/>
        <w:gridCol w:w="525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1040F8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37557">
              <w:rPr>
                <w:sz w:val="24"/>
                <w:szCs w:val="24"/>
              </w:rPr>
              <w:t>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5408CC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1040F8">
              <w:rPr>
                <w:sz w:val="24"/>
                <w:szCs w:val="24"/>
              </w:rPr>
              <w:t xml:space="preserve">                   А.А. Шхалахов</w:t>
            </w:r>
          </w:p>
        </w:tc>
      </w:tr>
    </w:tbl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2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285" w:rsidRDefault="00995285">
      <w:r>
        <w:separator/>
      </w:r>
    </w:p>
  </w:endnote>
  <w:endnote w:type="continuationSeparator" w:id="0">
    <w:p w:rsidR="00995285" w:rsidRDefault="0099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285" w:rsidRDefault="00995285">
      <w:r>
        <w:separator/>
      </w:r>
    </w:p>
  </w:footnote>
  <w:footnote w:type="continuationSeparator" w:id="0">
    <w:p w:rsidR="00995285" w:rsidRDefault="00995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F46476"/>
    <w:multiLevelType w:val="multilevel"/>
    <w:tmpl w:val="9550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2F57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5956"/>
    <w:rsid w:val="00106731"/>
    <w:rsid w:val="00106A45"/>
    <w:rsid w:val="00107271"/>
    <w:rsid w:val="00110169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3F95"/>
    <w:rsid w:val="00195AEF"/>
    <w:rsid w:val="00195E7E"/>
    <w:rsid w:val="001962E5"/>
    <w:rsid w:val="00196802"/>
    <w:rsid w:val="001A22A5"/>
    <w:rsid w:val="001A2829"/>
    <w:rsid w:val="001A4485"/>
    <w:rsid w:val="001A5D99"/>
    <w:rsid w:val="001A6C0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5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B05"/>
    <w:rsid w:val="002A7D7B"/>
    <w:rsid w:val="002B02A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1FDC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0AF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2AA2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149"/>
    <w:rsid w:val="0044147D"/>
    <w:rsid w:val="004437D3"/>
    <w:rsid w:val="00450986"/>
    <w:rsid w:val="00451C4D"/>
    <w:rsid w:val="00451FF3"/>
    <w:rsid w:val="00452A0B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5B08"/>
    <w:rsid w:val="004A668C"/>
    <w:rsid w:val="004A7975"/>
    <w:rsid w:val="004A7ACD"/>
    <w:rsid w:val="004B223A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0FA2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DD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3FC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47F7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40D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C69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201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8E7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14B4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356E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2E5B"/>
    <w:rsid w:val="00865432"/>
    <w:rsid w:val="00865492"/>
    <w:rsid w:val="008667B2"/>
    <w:rsid w:val="008675D1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7A4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68E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B42"/>
    <w:rsid w:val="00950D7D"/>
    <w:rsid w:val="009520A3"/>
    <w:rsid w:val="009537B9"/>
    <w:rsid w:val="0095736F"/>
    <w:rsid w:val="0096048B"/>
    <w:rsid w:val="009605DB"/>
    <w:rsid w:val="009618EE"/>
    <w:rsid w:val="009630C2"/>
    <w:rsid w:val="009641B2"/>
    <w:rsid w:val="00964ACD"/>
    <w:rsid w:val="009661D2"/>
    <w:rsid w:val="00967633"/>
    <w:rsid w:val="00967811"/>
    <w:rsid w:val="00967E65"/>
    <w:rsid w:val="00971559"/>
    <w:rsid w:val="00971945"/>
    <w:rsid w:val="00971B64"/>
    <w:rsid w:val="00972DC2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5285"/>
    <w:rsid w:val="00997A55"/>
    <w:rsid w:val="009A096B"/>
    <w:rsid w:val="009A2E7D"/>
    <w:rsid w:val="009A442F"/>
    <w:rsid w:val="009A45BD"/>
    <w:rsid w:val="009A7967"/>
    <w:rsid w:val="009B0605"/>
    <w:rsid w:val="009B09DD"/>
    <w:rsid w:val="009B1C82"/>
    <w:rsid w:val="009B2FD2"/>
    <w:rsid w:val="009B37C2"/>
    <w:rsid w:val="009B521D"/>
    <w:rsid w:val="009B5D3A"/>
    <w:rsid w:val="009B5F37"/>
    <w:rsid w:val="009B75C6"/>
    <w:rsid w:val="009C0389"/>
    <w:rsid w:val="009C14FB"/>
    <w:rsid w:val="009C200B"/>
    <w:rsid w:val="009C3369"/>
    <w:rsid w:val="009C499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58C6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7E0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5D58"/>
    <w:rsid w:val="00AC74F3"/>
    <w:rsid w:val="00AC7ADF"/>
    <w:rsid w:val="00AC7F6B"/>
    <w:rsid w:val="00AD01C8"/>
    <w:rsid w:val="00AD3598"/>
    <w:rsid w:val="00AD4DE9"/>
    <w:rsid w:val="00AD52A0"/>
    <w:rsid w:val="00AD5E27"/>
    <w:rsid w:val="00AE1B50"/>
    <w:rsid w:val="00AE2CE9"/>
    <w:rsid w:val="00AE3899"/>
    <w:rsid w:val="00AE4AA5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AEB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2EC8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3A54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851"/>
    <w:rsid w:val="00BD499E"/>
    <w:rsid w:val="00BD634D"/>
    <w:rsid w:val="00BD705D"/>
    <w:rsid w:val="00BD7FD7"/>
    <w:rsid w:val="00BE0260"/>
    <w:rsid w:val="00BE3234"/>
    <w:rsid w:val="00BE3435"/>
    <w:rsid w:val="00BE706F"/>
    <w:rsid w:val="00BE7AEA"/>
    <w:rsid w:val="00BF028A"/>
    <w:rsid w:val="00BF201A"/>
    <w:rsid w:val="00BF20ED"/>
    <w:rsid w:val="00BF3190"/>
    <w:rsid w:val="00BF31D0"/>
    <w:rsid w:val="00BF34F9"/>
    <w:rsid w:val="00BF612E"/>
    <w:rsid w:val="00BF69DA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A46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4E94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0D2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4A8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8C"/>
    <w:rsid w:val="00D864E2"/>
    <w:rsid w:val="00D879D8"/>
    <w:rsid w:val="00D9056F"/>
    <w:rsid w:val="00D90D2D"/>
    <w:rsid w:val="00D9111D"/>
    <w:rsid w:val="00D91225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5AF7"/>
    <w:rsid w:val="00DF687F"/>
    <w:rsid w:val="00DF7319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20DB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2D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152"/>
    <w:rsid w:val="00EF3756"/>
    <w:rsid w:val="00EF3F91"/>
    <w:rsid w:val="00EF5A9C"/>
    <w:rsid w:val="00EF6AE5"/>
    <w:rsid w:val="00F0098E"/>
    <w:rsid w:val="00F00AB0"/>
    <w:rsid w:val="00F03B68"/>
    <w:rsid w:val="00F068D2"/>
    <w:rsid w:val="00F07DCC"/>
    <w:rsid w:val="00F10010"/>
    <w:rsid w:val="00F11CE7"/>
    <w:rsid w:val="00F128C1"/>
    <w:rsid w:val="00F135C1"/>
    <w:rsid w:val="00F16DA7"/>
    <w:rsid w:val="00F1795B"/>
    <w:rsid w:val="00F2059C"/>
    <w:rsid w:val="00F21FF9"/>
    <w:rsid w:val="00F224FF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494B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5C9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02E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235D"/>
    <w:rsid w:val="00FC32A7"/>
    <w:rsid w:val="00FC4743"/>
    <w:rsid w:val="00FC4D19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4943B28-E303-4363-8D28-AE6EF13D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Название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ttr-name">
    <w:name w:val="attr-name"/>
    <w:basedOn w:val="a1"/>
    <w:rsid w:val="00FC235D"/>
  </w:style>
  <w:style w:type="character" w:customStyle="1" w:styleId="attr-text">
    <w:name w:val="attr-text"/>
    <w:basedOn w:val="a1"/>
    <w:rsid w:val="00FC235D"/>
  </w:style>
  <w:style w:type="character" w:customStyle="1" w:styleId="prod1">
    <w:name w:val="prod1"/>
    <w:basedOn w:val="a1"/>
    <w:rsid w:val="00CA10D2"/>
  </w:style>
  <w:style w:type="character" w:customStyle="1" w:styleId="prod2">
    <w:name w:val="prod2"/>
    <w:basedOn w:val="a1"/>
    <w:rsid w:val="00CA10D2"/>
  </w:style>
  <w:style w:type="character" w:customStyle="1" w:styleId="prod3">
    <w:name w:val="prod3"/>
    <w:basedOn w:val="a1"/>
    <w:rsid w:val="00CA10D2"/>
  </w:style>
  <w:style w:type="character" w:customStyle="1" w:styleId="prod4">
    <w:name w:val="prod4"/>
    <w:basedOn w:val="a1"/>
    <w:rsid w:val="00CA10D2"/>
  </w:style>
  <w:style w:type="character" w:customStyle="1" w:styleId="prod5">
    <w:name w:val="prod5"/>
    <w:basedOn w:val="a1"/>
    <w:rsid w:val="00CA10D2"/>
  </w:style>
  <w:style w:type="paragraph" w:styleId="af8">
    <w:name w:val="Balloon Text"/>
    <w:basedOn w:val="a0"/>
    <w:link w:val="af9"/>
    <w:semiHidden/>
    <w:unhideWhenUsed/>
    <w:rsid w:val="00696C6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96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tulistul.ru/catalog/akcii_i_skidki/stul_ofisnyij_izo.html" TargetMode="Externa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stulistul.ru/catalog/akcii_i_skidki/stul_ofisnyij_izo.htm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4E34F1-99C0-4BC0-AA4E-A752C0DA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Колотыгин Александр Иванович</cp:lastModifiedBy>
  <cp:revision>7</cp:revision>
  <cp:lastPrinted>2019-10-25T08:47:00Z</cp:lastPrinted>
  <dcterms:created xsi:type="dcterms:W3CDTF">2021-01-21T07:10:00Z</dcterms:created>
  <dcterms:modified xsi:type="dcterms:W3CDTF">2021-02-03T08:54:00Z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