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B70" w:rsidRDefault="00015B70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</w:p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9212D0" w:rsidRDefault="00F51C22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 w:rsidRPr="00F51C22">
              <w:rPr>
                <w:b/>
                <w:sz w:val="26"/>
                <w:szCs w:val="26"/>
              </w:rPr>
              <w:t>310B</w:t>
            </w: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674813" w:rsidRDefault="00F51C22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F51C22">
              <w:rPr>
                <w:b/>
                <w:sz w:val="26"/>
                <w:szCs w:val="26"/>
              </w:rPr>
              <w:t>804000145</w:t>
            </w:r>
          </w:p>
        </w:tc>
      </w:tr>
    </w:tbl>
    <w:p w:rsidR="0014531E" w:rsidRDefault="0014531E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14531E" w:rsidRDefault="0014531E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D802D5" w:rsidRPr="007330F5" w:rsidRDefault="0014531E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филиала </w:t>
      </w:r>
      <w:r w:rsidR="000D276B">
        <w:rPr>
          <w:rFonts w:ascii="Times New Roman" w:hAnsi="Times New Roman"/>
          <w:sz w:val="24"/>
          <w:szCs w:val="24"/>
        </w:rPr>
        <w:t>ПАО</w:t>
      </w:r>
      <w:r>
        <w:rPr>
          <w:rFonts w:ascii="Times New Roman" w:hAnsi="Times New Roman"/>
          <w:sz w:val="24"/>
          <w:szCs w:val="24"/>
        </w:rPr>
        <w:t xml:space="preserve"> «МРСК Центра»-«Орелэнерго»</w:t>
      </w:r>
    </w:p>
    <w:p w:rsidR="00D802D5" w:rsidRPr="007330F5" w:rsidRDefault="00015B70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</w:t>
      </w:r>
      <w:r w:rsidR="0014531E">
        <w:rPr>
          <w:rFonts w:ascii="Times New Roman" w:hAnsi="Times New Roman"/>
          <w:sz w:val="24"/>
          <w:szCs w:val="24"/>
        </w:rPr>
        <w:t>И.В. Колубанов</w:t>
      </w:r>
    </w:p>
    <w:p w:rsidR="009B75C6" w:rsidRPr="00153BF4" w:rsidRDefault="00015B70" w:rsidP="00153BF4">
      <w:pPr>
        <w:pStyle w:val="2"/>
        <w:numPr>
          <w:ilvl w:val="0"/>
          <w:numId w:val="0"/>
        </w:numPr>
        <w:spacing w:after="120"/>
        <w:ind w:firstLine="3544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25.11.2020</w:t>
      </w:r>
    </w:p>
    <w:p w:rsidR="00D802D5" w:rsidRPr="00D802D5" w:rsidRDefault="00D802D5" w:rsidP="00D802D5"/>
    <w:p w:rsidR="004F6968" w:rsidRPr="00044AD9" w:rsidRDefault="008D35FD" w:rsidP="004653B6">
      <w:pPr>
        <w:pStyle w:val="2"/>
        <w:numPr>
          <w:ilvl w:val="0"/>
          <w:numId w:val="0"/>
          <w:ins w:id="0" w:author="Kozlov_E" w:date="2005-05-24T16:56:00Z"/>
        </w:numPr>
        <w:rPr>
          <w:szCs w:val="28"/>
        </w:rPr>
      </w:pPr>
      <w:r w:rsidRPr="00044AD9">
        <w:rPr>
          <w:szCs w:val="28"/>
        </w:rPr>
        <w:t>ТЕХНИЧЕСКОЕ ЗАДАНИЕ</w:t>
      </w:r>
    </w:p>
    <w:p w:rsidR="009212D0" w:rsidRDefault="004F6968" w:rsidP="004653B6">
      <w:pPr>
        <w:shd w:val="clear" w:color="auto" w:fill="FFFFFF"/>
        <w:ind w:firstLine="0"/>
        <w:jc w:val="center"/>
        <w:rPr>
          <w:b/>
          <w:bCs/>
          <w:color w:val="3C3835"/>
          <w:sz w:val="28"/>
          <w:szCs w:val="28"/>
        </w:rPr>
      </w:pPr>
      <w:r w:rsidRPr="001E2B43">
        <w:rPr>
          <w:b/>
          <w:sz w:val="28"/>
          <w:szCs w:val="28"/>
        </w:rPr>
        <w:t xml:space="preserve">на </w:t>
      </w:r>
      <w:r w:rsidR="00D632E1">
        <w:rPr>
          <w:b/>
          <w:sz w:val="28"/>
          <w:szCs w:val="28"/>
        </w:rPr>
        <w:t xml:space="preserve">поставку </w:t>
      </w:r>
      <w:hyperlink r:id="rId11" w:anchor="Общее и технические характеристики перфоратора Makita HR 2450" w:history="1">
        <w:r w:rsidR="004653B6">
          <w:rPr>
            <w:b/>
            <w:bCs/>
            <w:color w:val="3C3835"/>
            <w:sz w:val="28"/>
            <w:szCs w:val="28"/>
          </w:rPr>
          <w:t>к</w:t>
        </w:r>
        <w:r w:rsidR="00F51C22" w:rsidRPr="004653B6">
          <w:rPr>
            <w:b/>
            <w:bCs/>
            <w:color w:val="3C3835"/>
            <w:sz w:val="28"/>
            <w:szCs w:val="28"/>
          </w:rPr>
          <w:t>омплекс</w:t>
        </w:r>
        <w:r w:rsidR="004653B6">
          <w:rPr>
            <w:b/>
            <w:bCs/>
            <w:color w:val="3C3835"/>
            <w:sz w:val="28"/>
            <w:szCs w:val="28"/>
          </w:rPr>
          <w:t>а испытательного электрооборуд</w:t>
        </w:r>
        <w:r w:rsidR="00BA0404">
          <w:rPr>
            <w:b/>
            <w:bCs/>
            <w:color w:val="3C3835"/>
            <w:sz w:val="28"/>
            <w:szCs w:val="28"/>
          </w:rPr>
          <w:t>о</w:t>
        </w:r>
        <w:r w:rsidR="004653B6">
          <w:rPr>
            <w:b/>
            <w:bCs/>
            <w:color w:val="3C3835"/>
            <w:sz w:val="28"/>
            <w:szCs w:val="28"/>
          </w:rPr>
          <w:t>вания</w:t>
        </w:r>
      </w:hyperlink>
    </w:p>
    <w:p w:rsidR="004653B6" w:rsidRPr="004653B6" w:rsidRDefault="004653B6" w:rsidP="004653B6">
      <w:pPr>
        <w:shd w:val="clear" w:color="auto" w:fill="FFFFFF"/>
        <w:ind w:firstLine="0"/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4653B6" w:rsidTr="004653B6">
        <w:tc>
          <w:tcPr>
            <w:tcW w:w="2151" w:type="dxa"/>
          </w:tcPr>
          <w:p w:rsidR="004653B6" w:rsidRP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653B6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</w:tcPr>
          <w:p w:rsidR="004653B6" w:rsidRP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653B6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</w:tcPr>
          <w:p w:rsidR="004653B6" w:rsidRP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653B6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</w:tcPr>
          <w:p w:rsidR="004653B6" w:rsidRP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653B6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</w:tcPr>
          <w:p w:rsidR="004653B6" w:rsidRP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653B6">
              <w:rPr>
                <w:sz w:val="24"/>
                <w:szCs w:val="24"/>
              </w:rPr>
              <w:t>Общее количество</w:t>
            </w:r>
          </w:p>
        </w:tc>
      </w:tr>
      <w:tr w:rsidR="004653B6" w:rsidTr="004653B6">
        <w:tc>
          <w:tcPr>
            <w:tcW w:w="2151" w:type="dxa"/>
          </w:tcPr>
          <w:p w:rsid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:rsidR="004653B6" w:rsidRP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</w:t>
            </w:r>
            <w:r w:rsidRPr="004653B6">
              <w:rPr>
                <w:sz w:val="24"/>
                <w:szCs w:val="24"/>
              </w:rPr>
              <w:t xml:space="preserve"> МРСК Центра» - «Орелэнерго</w:t>
            </w:r>
          </w:p>
        </w:tc>
        <w:tc>
          <w:tcPr>
            <w:tcW w:w="2151" w:type="dxa"/>
          </w:tcPr>
          <w:p w:rsid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:rsidR="004653B6" w:rsidRP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653B6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74"/>
            </w:tblGrid>
            <w:tr w:rsidR="004653B6" w:rsidRPr="004653B6">
              <w:trPr>
                <w:trHeight w:val="751"/>
              </w:trPr>
              <w:tc>
                <w:tcPr>
                  <w:tcW w:w="0" w:type="auto"/>
                </w:tcPr>
                <w:p w:rsidR="004653B6" w:rsidRPr="004653B6" w:rsidRDefault="004653B6" w:rsidP="004653B6">
                  <w:pPr>
                    <w:pStyle w:val="Default"/>
                    <w:jc w:val="center"/>
                    <w:rPr>
                      <w:color w:val="auto"/>
                    </w:rPr>
                  </w:pPr>
                  <w:r w:rsidRPr="004653B6">
                    <w:rPr>
                      <w:color w:val="auto"/>
                    </w:rPr>
                    <w:t>г. Орёл,ул. Высоковольтная, 9, центральный склад филиала ПАО "МРСК Центр- “Орёлэнерго”</w:t>
                  </w:r>
                </w:p>
              </w:tc>
            </w:tr>
          </w:tbl>
          <w:p w:rsidR="004653B6" w:rsidRP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</w:tcPr>
          <w:p w:rsidR="004653B6" w:rsidRPr="004653B6" w:rsidRDefault="004653B6" w:rsidP="004653B6">
            <w:pPr>
              <w:pStyle w:val="Default"/>
              <w:jc w:val="center"/>
              <w:rPr>
                <w:color w:val="aut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29"/>
            </w:tblGrid>
            <w:tr w:rsidR="004653B6" w:rsidRPr="004653B6">
              <w:trPr>
                <w:trHeight w:val="487"/>
              </w:trPr>
              <w:tc>
                <w:tcPr>
                  <w:tcW w:w="0" w:type="auto"/>
                </w:tcPr>
                <w:p w:rsidR="004653B6" w:rsidRPr="004653B6" w:rsidRDefault="004653B6" w:rsidP="004653B6">
                  <w:pPr>
                    <w:pStyle w:val="Default"/>
                    <w:jc w:val="center"/>
                    <w:rPr>
                      <w:color w:val="auto"/>
                    </w:rPr>
                  </w:pPr>
                  <w:r w:rsidRPr="004653B6">
                    <w:rPr>
                      <w:color w:val="auto"/>
                    </w:rPr>
                    <w:t>60 календарных дней с момента заключения договора</w:t>
                  </w:r>
                </w:p>
              </w:tc>
            </w:tr>
          </w:tbl>
          <w:p w:rsidR="004653B6" w:rsidRP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</w:tcPr>
          <w:p w:rsid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:rsidR="004653B6" w:rsidRDefault="004653B6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  <w:p w:rsidR="004653B6" w:rsidRPr="004653B6" w:rsidRDefault="00441CED" w:rsidP="004653B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53B6">
              <w:rPr>
                <w:sz w:val="24"/>
                <w:szCs w:val="24"/>
              </w:rPr>
              <w:t xml:space="preserve"> шт</w:t>
            </w:r>
          </w:p>
        </w:tc>
      </w:tr>
    </w:tbl>
    <w:p w:rsidR="00D60BFD" w:rsidRDefault="00D60BFD" w:rsidP="00D60BFD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130"/>
        <w:gridCol w:w="9"/>
        <w:gridCol w:w="1639"/>
        <w:gridCol w:w="5450"/>
        <w:gridCol w:w="300"/>
        <w:gridCol w:w="1227"/>
      </w:tblGrid>
      <w:tr w:rsidR="00153BF4" w:rsidTr="001521DC">
        <w:trPr>
          <w:jc w:val="center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A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A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7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A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1521DC" w:rsidTr="001521DC">
        <w:trPr>
          <w:trHeight w:val="3057"/>
          <w:jc w:val="center"/>
        </w:trPr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521DC" w:rsidRPr="00D60BFD" w:rsidRDefault="001521DC" w:rsidP="009212D0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ind w:left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12" w:anchor="Общее и технические характеристики перфоратора Makita HR 2450" w:history="1">
              <w:r w:rsidR="00441CED">
                <w:rPr>
                  <w:sz w:val="24"/>
                  <w:szCs w:val="24"/>
                </w:rPr>
                <w:t xml:space="preserve">Комплекс испытания электрооборудования </w:t>
              </w:r>
            </w:hyperlink>
          </w:p>
          <w:p w:rsidR="001521DC" w:rsidRDefault="001521DC" w:rsidP="00EF6F5B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1521DC" w:rsidRPr="00EE0F10" w:rsidRDefault="001521DC" w:rsidP="009212D0">
            <w:pPr>
              <w:spacing w:before="100" w:beforeAutospacing="1" w:after="100" w:afterAutospacing="1"/>
              <w:ind w:firstLine="0"/>
              <w:jc w:val="left"/>
              <w:outlineLvl w:val="0"/>
            </w:pPr>
          </w:p>
        </w:tc>
        <w:tc>
          <w:tcPr>
            <w:tcW w:w="16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1DC" w:rsidRPr="001521DC" w:rsidRDefault="001521DC" w:rsidP="009212D0">
            <w:pPr>
              <w:spacing w:before="100" w:beforeAutospacing="1" w:after="100" w:afterAutospacing="1"/>
              <w:ind w:firstLine="0"/>
              <w:jc w:val="left"/>
              <w:outlineLvl w:val="0"/>
            </w:pPr>
            <w:r w:rsidRPr="008479C6">
              <w:rPr>
                <w:sz w:val="24"/>
                <w:szCs w:val="24"/>
              </w:rPr>
              <w:t>Класс оборудования по ЭМС (в соответствии с ГОСТ Р 51522-99)</w:t>
            </w:r>
          </w:p>
        </w:tc>
        <w:tc>
          <w:tcPr>
            <w:tcW w:w="7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DC" w:rsidRDefault="001521DC" w:rsidP="009212D0">
            <w:pPr>
              <w:shd w:val="clear" w:color="auto" w:fill="FFFFFF"/>
              <w:spacing w:after="240" w:line="210" w:lineRule="atLeast"/>
              <w:ind w:firstLine="0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Испытательный прибор является базовым испытательного комплекса для проверки первичного и вторичного электрооборудования.</w:t>
            </w:r>
          </w:p>
          <w:p w:rsidR="001521DC" w:rsidRPr="008479C6" w:rsidRDefault="001521DC" w:rsidP="002A11AD">
            <w:pPr>
              <w:numPr>
                <w:ilvl w:val="1"/>
                <w:numId w:val="13"/>
              </w:numPr>
              <w:ind w:left="924" w:hanging="357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максимальный выдаваемый ток до 800 А;</w:t>
            </w:r>
          </w:p>
          <w:p w:rsidR="001521DC" w:rsidRPr="008479C6" w:rsidRDefault="001521DC" w:rsidP="002A11AD">
            <w:pPr>
              <w:numPr>
                <w:ilvl w:val="1"/>
                <w:numId w:val="13"/>
              </w:numPr>
              <w:ind w:left="924" w:hanging="357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максимально выдаваемое напряжение до 500 В;</w:t>
            </w:r>
          </w:p>
          <w:p w:rsidR="001521DC" w:rsidRPr="008479C6" w:rsidRDefault="001521DC" w:rsidP="002A11AD">
            <w:pPr>
              <w:numPr>
                <w:ilvl w:val="1"/>
                <w:numId w:val="13"/>
              </w:numPr>
              <w:ind w:left="924" w:hanging="357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длительная и максимальная выдаваемая мощность до 2500 и 4500 ВА соответственно;</w:t>
            </w:r>
          </w:p>
          <w:p w:rsidR="001521DC" w:rsidRPr="008479C6" w:rsidRDefault="001521DC" w:rsidP="002A11AD">
            <w:pPr>
              <w:numPr>
                <w:ilvl w:val="1"/>
                <w:numId w:val="13"/>
              </w:numPr>
              <w:ind w:left="924" w:hanging="357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регулировки тока, частот, фазы (угла);</w:t>
            </w:r>
          </w:p>
          <w:p w:rsidR="001521DC" w:rsidRPr="008479C6" w:rsidRDefault="001521DC" w:rsidP="002A11AD">
            <w:pPr>
              <w:numPr>
                <w:ilvl w:val="1"/>
                <w:numId w:val="13"/>
              </w:numPr>
              <w:ind w:left="924" w:hanging="357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мультиметр позволяет измерять ток, частоту, фазу;</w:t>
            </w:r>
          </w:p>
          <w:p w:rsidR="001521DC" w:rsidRPr="008479C6" w:rsidRDefault="001521DC" w:rsidP="002A11AD">
            <w:pPr>
              <w:numPr>
                <w:ilvl w:val="1"/>
                <w:numId w:val="13"/>
              </w:numPr>
              <w:ind w:left="924" w:hanging="357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источник оперативного питания;</w:t>
            </w:r>
          </w:p>
          <w:p w:rsidR="001521DC" w:rsidRPr="008479C6" w:rsidRDefault="001521DC" w:rsidP="002A11AD">
            <w:pPr>
              <w:numPr>
                <w:ilvl w:val="1"/>
                <w:numId w:val="13"/>
              </w:numPr>
              <w:ind w:left="924" w:hanging="357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возможность полноценной проверки трансформаторов тока и т.д.</w:t>
            </w:r>
          </w:p>
          <w:p w:rsidR="001521DC" w:rsidRPr="008479C6" w:rsidRDefault="00441CED" w:rsidP="002A11A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Прибор </w:t>
            </w:r>
            <w:r w:rsidR="001521DC" w:rsidRPr="008479C6">
              <w:rPr>
                <w:sz w:val="24"/>
                <w:szCs w:val="24"/>
              </w:rPr>
              <w:t>является сертифицированным средством измерения.</w:t>
            </w:r>
          </w:p>
          <w:tbl>
            <w:tblPr>
              <w:tblW w:w="0" w:type="auto"/>
              <w:tblCellSpacing w:w="7" w:type="dxa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 w:firstRow="1" w:lastRow="0" w:firstColumn="1" w:lastColumn="0" w:noHBand="0" w:noVBand="1"/>
            </w:tblPr>
            <w:tblGrid>
              <w:gridCol w:w="6761"/>
            </w:tblGrid>
            <w:tr w:rsidR="001521DC" w:rsidRPr="008479C6" w:rsidTr="002A11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1521DC" w:rsidRPr="008479C6" w:rsidRDefault="001521DC" w:rsidP="002A11AD">
                  <w:pPr>
                    <w:ind w:firstLine="0"/>
                    <w:jc w:val="left"/>
                    <w:rPr>
                      <w:sz w:val="24"/>
                      <w:szCs w:val="24"/>
                    </w:rPr>
                  </w:pPr>
                  <w:bookmarkStart w:id="1" w:name="_GoBack"/>
                  <w:bookmarkEnd w:id="1"/>
                  <w:r w:rsidRPr="008479C6">
                    <w:rPr>
                      <w:sz w:val="24"/>
                      <w:szCs w:val="24"/>
                    </w:rPr>
                    <w:t>Источник 1. ВЫХОД «=U1». Регулируемое напряжение постоянного тока</w:t>
                  </w:r>
                </w:p>
              </w:tc>
            </w:tr>
          </w:tbl>
          <w:p w:rsidR="001521DC" w:rsidRPr="00667743" w:rsidRDefault="001521DC" w:rsidP="009212D0">
            <w:pPr>
              <w:shd w:val="clear" w:color="auto" w:fill="FFFFFF"/>
              <w:spacing w:after="240" w:line="210" w:lineRule="atLeast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1521DC" w:rsidTr="000B7215">
        <w:trPr>
          <w:trHeight w:val="400"/>
          <w:jc w:val="center"/>
        </w:trPr>
        <w:tc>
          <w:tcPr>
            <w:tcW w:w="213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1521DC" w:rsidRDefault="001521DC" w:rsidP="009212D0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1DC" w:rsidRPr="00EE0F10" w:rsidRDefault="001521DC" w:rsidP="009212D0">
            <w:pPr>
              <w:spacing w:before="100" w:beforeAutospacing="1" w:after="100" w:afterAutospacing="1"/>
              <w:ind w:firstLine="0"/>
              <w:jc w:val="left"/>
              <w:outlineLvl w:val="0"/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DC" w:rsidRPr="009212D0" w:rsidRDefault="001521DC" w:rsidP="001521DC">
            <w:pPr>
              <w:shd w:val="clear" w:color="auto" w:fill="FFFFFF"/>
              <w:spacing w:after="240" w:line="210" w:lineRule="atLeast"/>
              <w:ind w:firstLine="0"/>
              <w:jc w:val="left"/>
              <w:rPr>
                <w:color w:val="3C3835"/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Диапазон регулирования напряжения, 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DC" w:rsidRPr="009212D0" w:rsidRDefault="001521DC" w:rsidP="001521DC">
            <w:pPr>
              <w:shd w:val="clear" w:color="auto" w:fill="FFFFFF"/>
              <w:spacing w:after="240" w:line="210" w:lineRule="atLeast"/>
              <w:ind w:firstLine="0"/>
              <w:jc w:val="left"/>
              <w:rPr>
                <w:color w:val="3C3835"/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176 – 264</w:t>
            </w:r>
          </w:p>
        </w:tc>
      </w:tr>
      <w:tr w:rsidR="001521DC" w:rsidTr="000B7215">
        <w:trPr>
          <w:trHeight w:val="266"/>
          <w:jc w:val="center"/>
        </w:trPr>
        <w:tc>
          <w:tcPr>
            <w:tcW w:w="213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1521DC" w:rsidRDefault="001521DC" w:rsidP="009212D0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1DC" w:rsidRPr="00EE0F10" w:rsidRDefault="001521DC" w:rsidP="009212D0">
            <w:pPr>
              <w:spacing w:before="100" w:beforeAutospacing="1" w:after="100" w:afterAutospacing="1"/>
              <w:ind w:firstLine="0"/>
              <w:jc w:val="left"/>
              <w:outlineLvl w:val="0"/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DC" w:rsidRPr="008479C6" w:rsidRDefault="001521DC" w:rsidP="001521DC">
            <w:pPr>
              <w:shd w:val="clear" w:color="auto" w:fill="FFFFFF"/>
              <w:spacing w:after="240" w:line="210" w:lineRule="atLeast"/>
              <w:ind w:firstLine="0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Номинальная выходная мощность, Вт, не более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DC" w:rsidRPr="009212D0" w:rsidRDefault="001521DC" w:rsidP="001521DC">
            <w:pPr>
              <w:shd w:val="clear" w:color="auto" w:fill="FFFFFF"/>
              <w:spacing w:after="240" w:line="210" w:lineRule="atLeast"/>
              <w:ind w:firstLine="0"/>
              <w:jc w:val="left"/>
              <w:rPr>
                <w:color w:val="3C3835"/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220</w:t>
            </w:r>
          </w:p>
        </w:tc>
      </w:tr>
      <w:tr w:rsidR="001521DC" w:rsidRPr="00153BF4" w:rsidTr="000B7215">
        <w:trPr>
          <w:trHeight w:val="394"/>
          <w:jc w:val="center"/>
        </w:trPr>
        <w:tc>
          <w:tcPr>
            <w:tcW w:w="213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1521DC" w:rsidRPr="00153BF4" w:rsidRDefault="001521DC" w:rsidP="00FD7F8B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1DC" w:rsidRPr="00153BF4" w:rsidRDefault="001521DC" w:rsidP="00FD7F8B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DC" w:rsidRPr="009212D0" w:rsidRDefault="001521DC" w:rsidP="001521DC">
            <w:pPr>
              <w:shd w:val="clear" w:color="auto" w:fill="FFFFFF"/>
              <w:spacing w:before="100" w:beforeAutospacing="1" w:after="100" w:afterAutospacing="1"/>
              <w:ind w:firstLine="0"/>
              <w:jc w:val="left"/>
              <w:rPr>
                <w:sz w:val="22"/>
                <w:szCs w:val="22"/>
              </w:rPr>
            </w:pPr>
            <w:r w:rsidRPr="008479C6">
              <w:rPr>
                <w:sz w:val="24"/>
                <w:szCs w:val="24"/>
              </w:rPr>
              <w:t>Размах пульсаций напряжения при Uвых = 220 В и номинальной</w:t>
            </w:r>
            <w:r w:rsidRPr="008479C6">
              <w:rPr>
                <w:sz w:val="24"/>
                <w:szCs w:val="24"/>
              </w:rPr>
              <w:br/>
              <w:t>выходной мощности, %, не более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1DC" w:rsidRPr="009212D0" w:rsidRDefault="001521DC" w:rsidP="001521DC">
            <w:pPr>
              <w:shd w:val="clear" w:color="auto" w:fill="FFFFFF"/>
              <w:spacing w:before="100" w:beforeAutospacing="1" w:after="100" w:afterAutospacing="1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521DC" w:rsidRPr="00153BF4" w:rsidTr="001521DC">
        <w:trPr>
          <w:trHeight w:val="394"/>
          <w:jc w:val="center"/>
        </w:trPr>
        <w:tc>
          <w:tcPr>
            <w:tcW w:w="213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1DC" w:rsidRPr="00153BF4" w:rsidRDefault="001521DC" w:rsidP="00FD7F8B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DC" w:rsidRPr="00153BF4" w:rsidRDefault="001521DC" w:rsidP="00FD7F8B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DC" w:rsidRPr="008479C6" w:rsidRDefault="001521DC" w:rsidP="001521DC">
            <w:pPr>
              <w:shd w:val="clear" w:color="auto" w:fill="FFFFFF"/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Задержка включения выхода, с, не более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1DC" w:rsidRDefault="001521DC" w:rsidP="001521DC">
            <w:pPr>
              <w:shd w:val="clear" w:color="auto" w:fill="FFFFFF"/>
              <w:spacing w:before="100" w:beforeAutospacing="1" w:after="100" w:afterAutospacing="1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67743" w:rsidRPr="00153BF4" w:rsidTr="00FD54C7">
        <w:trPr>
          <w:trHeight w:val="394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4C7" w:rsidRDefault="00FD54C7" w:rsidP="00583D61">
            <w:pPr>
              <w:ind w:firstLine="0"/>
              <w:jc w:val="left"/>
              <w:rPr>
                <w:sz w:val="24"/>
                <w:szCs w:val="24"/>
              </w:rPr>
            </w:pPr>
          </w:p>
          <w:p w:rsidR="00D60BFD" w:rsidRDefault="00D60BFD" w:rsidP="00583D61">
            <w:pPr>
              <w:ind w:firstLine="0"/>
              <w:jc w:val="left"/>
              <w:rPr>
                <w:sz w:val="24"/>
                <w:szCs w:val="24"/>
              </w:rPr>
            </w:pPr>
          </w:p>
          <w:p w:rsidR="00D60BFD" w:rsidRDefault="00D60BFD" w:rsidP="00583D61">
            <w:pPr>
              <w:ind w:firstLine="0"/>
              <w:jc w:val="left"/>
              <w:rPr>
                <w:sz w:val="24"/>
                <w:szCs w:val="24"/>
              </w:rPr>
            </w:pPr>
          </w:p>
          <w:p w:rsidR="00667743" w:rsidRDefault="001521DC" w:rsidP="00583D61">
            <w:pPr>
              <w:ind w:firstLine="0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lastRenderedPageBreak/>
              <w:t>Номинальная потребляемая мощность, В · А, не более</w:t>
            </w:r>
            <w:r w:rsidR="00FD54C7">
              <w:rPr>
                <w:sz w:val="24"/>
                <w:szCs w:val="24"/>
              </w:rPr>
              <w:t xml:space="preserve">         3000</w:t>
            </w:r>
          </w:p>
          <w:p w:rsidR="00FD54C7" w:rsidRDefault="00FD54C7" w:rsidP="00583D61">
            <w:pPr>
              <w:ind w:firstLine="0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Сила потребляемого тока, А, не более</w:t>
            </w:r>
            <w:r>
              <w:rPr>
                <w:sz w:val="24"/>
                <w:szCs w:val="24"/>
              </w:rPr>
              <w:t xml:space="preserve">                                      30</w:t>
            </w:r>
          </w:p>
          <w:p w:rsidR="00FD54C7" w:rsidRDefault="00FD54C7" w:rsidP="00583D61">
            <w:pPr>
              <w:ind w:firstLine="0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Масса устройства, кг, не более</w:t>
            </w:r>
            <w:r>
              <w:rPr>
                <w:sz w:val="24"/>
                <w:szCs w:val="24"/>
              </w:rPr>
              <w:t xml:space="preserve">                                                  27</w:t>
            </w:r>
          </w:p>
          <w:p w:rsidR="00FD54C7" w:rsidRDefault="00FD54C7" w:rsidP="00583D61">
            <w:pPr>
              <w:ind w:firstLine="0"/>
              <w:jc w:val="left"/>
              <w:rPr>
                <w:sz w:val="24"/>
                <w:szCs w:val="24"/>
              </w:rPr>
            </w:pPr>
            <w:r w:rsidRPr="008479C6">
              <w:rPr>
                <w:sz w:val="24"/>
                <w:szCs w:val="24"/>
              </w:rPr>
              <w:t>Габаритные размеры устройства, мм, не более</w:t>
            </w:r>
            <w:r>
              <w:rPr>
                <w:sz w:val="24"/>
                <w:szCs w:val="24"/>
              </w:rPr>
              <w:t xml:space="preserve">     </w:t>
            </w:r>
            <w:r w:rsidRPr="008479C6">
              <w:rPr>
                <w:sz w:val="24"/>
                <w:szCs w:val="24"/>
              </w:rPr>
              <w:t>560 х 460 х 300</w:t>
            </w:r>
          </w:p>
          <w:p w:rsidR="00FD54C7" w:rsidRPr="00153BF4" w:rsidRDefault="00FD54C7" w:rsidP="00583D6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743" w:rsidRPr="00033A1B" w:rsidRDefault="00667743" w:rsidP="009212D0">
            <w:pPr>
              <w:shd w:val="clear" w:color="auto" w:fill="FFFFFF"/>
              <w:spacing w:before="100" w:beforeAutospacing="1" w:after="100" w:afterAutospacing="1"/>
              <w:ind w:left="142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7743" w:rsidRPr="00033A1B" w:rsidRDefault="00667743" w:rsidP="009212D0">
            <w:pPr>
              <w:shd w:val="clear" w:color="auto" w:fill="FFFFFF"/>
              <w:spacing w:before="100" w:beforeAutospacing="1" w:after="100" w:afterAutospacing="1"/>
              <w:ind w:left="36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14531E">
        <w:tc>
          <w:tcPr>
            <w:tcW w:w="5377" w:type="dxa"/>
            <w:shd w:val="clear" w:color="auto" w:fill="auto"/>
            <w:vAlign w:val="center"/>
          </w:tcPr>
          <w:p w:rsidR="0014531E" w:rsidRDefault="0014531E" w:rsidP="0014531E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3F536E" w:rsidRPr="00A76F3B" w:rsidRDefault="00674813" w:rsidP="0014531E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 w:rsidRPr="00674813"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674813" w:rsidP="00674813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Андрианов А.А.</w:t>
            </w:r>
          </w:p>
        </w:tc>
      </w:tr>
    </w:tbl>
    <w:p w:rsidR="008A5CA5" w:rsidRPr="00044AD9" w:rsidRDefault="008A5CA5" w:rsidP="006677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9212D0">
      <w:headerReference w:type="even" r:id="rId13"/>
      <w:pgSz w:w="12240" w:h="15840" w:code="1"/>
      <w:pgMar w:top="284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9E5" w:rsidRDefault="00E809E5">
      <w:r>
        <w:separator/>
      </w:r>
    </w:p>
  </w:endnote>
  <w:endnote w:type="continuationSeparator" w:id="0">
    <w:p w:rsidR="00E809E5" w:rsidRDefault="00E8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9E5" w:rsidRDefault="00E809E5">
      <w:r>
        <w:separator/>
      </w:r>
    </w:p>
  </w:footnote>
  <w:footnote w:type="continuationSeparator" w:id="0">
    <w:p w:rsidR="00E809E5" w:rsidRDefault="00E80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E2452"/>
    <w:multiLevelType w:val="multilevel"/>
    <w:tmpl w:val="439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502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9" w15:restartNumberingAfterBreak="0">
    <w:nsid w:val="5AEF3C57"/>
    <w:multiLevelType w:val="multilevel"/>
    <w:tmpl w:val="4CD2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4134EE"/>
    <w:multiLevelType w:val="multilevel"/>
    <w:tmpl w:val="AAC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69114B"/>
    <w:multiLevelType w:val="multilevel"/>
    <w:tmpl w:val="419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FE0E28"/>
    <w:multiLevelType w:val="multilevel"/>
    <w:tmpl w:val="A9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13"/>
  </w:num>
  <w:num w:numId="1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169"/>
    <w:rsid w:val="00004529"/>
    <w:rsid w:val="00004DA3"/>
    <w:rsid w:val="0000513E"/>
    <w:rsid w:val="00005360"/>
    <w:rsid w:val="000069D6"/>
    <w:rsid w:val="00010695"/>
    <w:rsid w:val="000141BE"/>
    <w:rsid w:val="000150AB"/>
    <w:rsid w:val="00015B70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3622"/>
    <w:rsid w:val="00064651"/>
    <w:rsid w:val="00071958"/>
    <w:rsid w:val="00076F2D"/>
    <w:rsid w:val="000808BE"/>
    <w:rsid w:val="00081242"/>
    <w:rsid w:val="00084847"/>
    <w:rsid w:val="000858AE"/>
    <w:rsid w:val="00085DAC"/>
    <w:rsid w:val="00094AC3"/>
    <w:rsid w:val="000961A3"/>
    <w:rsid w:val="000A0393"/>
    <w:rsid w:val="000A6598"/>
    <w:rsid w:val="000B0392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21DC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3C72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1AD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08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46F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1CE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653B6"/>
    <w:rsid w:val="00472626"/>
    <w:rsid w:val="00473A83"/>
    <w:rsid w:val="00475718"/>
    <w:rsid w:val="004762CF"/>
    <w:rsid w:val="0047676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186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04AF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FBF"/>
    <w:rsid w:val="00667142"/>
    <w:rsid w:val="0066735A"/>
    <w:rsid w:val="00667743"/>
    <w:rsid w:val="0067198B"/>
    <w:rsid w:val="00674813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3AD5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5CD2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7122F"/>
    <w:rsid w:val="008727FA"/>
    <w:rsid w:val="00872BF1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2D0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41E5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2E6"/>
    <w:rsid w:val="00AD4DE9"/>
    <w:rsid w:val="00AD52A0"/>
    <w:rsid w:val="00AE1B50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40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13A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0BFD"/>
    <w:rsid w:val="00D61273"/>
    <w:rsid w:val="00D61ED8"/>
    <w:rsid w:val="00D6262D"/>
    <w:rsid w:val="00D62772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4AC0"/>
    <w:rsid w:val="00E65C92"/>
    <w:rsid w:val="00E70CC7"/>
    <w:rsid w:val="00E71B41"/>
    <w:rsid w:val="00E75E00"/>
    <w:rsid w:val="00E80157"/>
    <w:rsid w:val="00E809E5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6BB"/>
    <w:rsid w:val="00F41EEA"/>
    <w:rsid w:val="00F4441B"/>
    <w:rsid w:val="00F456C6"/>
    <w:rsid w:val="00F46FBB"/>
    <w:rsid w:val="00F51839"/>
    <w:rsid w:val="00F51C22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4C7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0DE87D-63BF-404E-985E-59DFA86E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89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34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530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75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trport.ru/instrumenty/perforator-makita-hr-2450-kharakteristiki-instruktsiya-otzyv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trport.ru/instrumenty/perforator-makita-hr-2450-kharakteristiki-instruktsiya-otzyvy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D480F47-7090-4669-B773-6606895D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10</cp:revision>
  <cp:lastPrinted>2021-01-15T07:25:00Z</cp:lastPrinted>
  <dcterms:created xsi:type="dcterms:W3CDTF">2016-10-06T13:40:00Z</dcterms:created>
  <dcterms:modified xsi:type="dcterms:W3CDTF">2021-01-15T08:19:00Z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