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0D11B9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ПАО «МРСК Центра», находящийся по адресу: РФ, 127018, г.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="00CB1D91" w:rsidRP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проведению </w:t>
      </w:r>
      <w:proofErr w:type="spellStart"/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предрейсовых</w:t>
      </w:r>
      <w:proofErr w:type="spellEnd"/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медосмотров в </w:t>
      </w:r>
      <w:r w:rsidR="008D3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Мышкин 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ПАО «МРСК Центра» (филиала «Ярэнерго»)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8D39E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8D3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39EF" w:rsidRPr="008D3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ГБУЗ ЯО </w:t>
      </w:r>
      <w:r w:rsidR="008D39E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D39EF" w:rsidRPr="008D39EF">
        <w:rPr>
          <w:rFonts w:ascii="Times New Roman" w:eastAsia="Times New Roman" w:hAnsi="Times New Roman" w:cs="Times New Roman"/>
          <w:sz w:val="24"/>
          <w:szCs w:val="24"/>
          <w:lang w:eastAsia="ru-RU"/>
        </w:rPr>
        <w:t>ЦРБ им. Д.Л. Соколова</w:t>
      </w:r>
      <w:r w:rsidR="008D39E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8C63DD" w:rsidRDefault="007E56AF" w:rsidP="00CB1D91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8D39EF">
        <w:rPr>
          <w:rFonts w:ascii="Times New Roman" w:eastAsia="Times New Roman" w:hAnsi="Times New Roman" w:cs="Times New Roman"/>
          <w:sz w:val="24"/>
          <w:szCs w:val="24"/>
          <w:lang w:eastAsia="ru-RU"/>
        </w:rPr>
        <w:t>100 195,2</w:t>
      </w:r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тысяч</w:t>
      </w:r>
      <w:r w:rsidR="008D3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 девяносто пять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8D39EF">
        <w:rPr>
          <w:rFonts w:ascii="Times New Roman" w:eastAsia="Times New Roman" w:hAnsi="Times New Roman" w:cs="Times New Roman"/>
          <w:sz w:val="24"/>
          <w:szCs w:val="24"/>
          <w:lang w:eastAsia="ru-RU"/>
        </w:rPr>
        <w:t>ей 2</w:t>
      </w:r>
      <w:bookmarkStart w:id="1" w:name="_GoBack"/>
      <w:bookmarkEnd w:id="1"/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 без НДС</w:t>
      </w:r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(НДС не облагается)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01.01.2017г. 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31.12.201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85EF5" w:rsidRPr="008D0F24" w:rsidRDefault="007E56AF" w:rsidP="00F77AF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E3C97" w:rsidRPr="00FE3C97">
        <w:t xml:space="preserve"> 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Безналичный расчет, в течение 30 рабочих дней с момента подписания актов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4691E" w:rsidRDefault="007E56AF" w:rsidP="008D39E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8D39EF" w:rsidRPr="008D39EF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ГБУЗ ЯО «ЦРБ им. Д.Л. Соколова»</w:t>
      </w:r>
      <w:r w:rsidR="008D3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643707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23D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4691E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Донскову А.Ю.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контактный телефон: (4852) 78-14-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4" w:history="1"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Dosnkov</w:t>
        </w:r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AY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@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mrsk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-1.</w:t>
        </w:r>
        <w:proofErr w:type="spellStart"/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4691E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4691E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4691E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4691E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4691E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469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4691E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4691E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4691E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4691E" w:rsidTr="00C44297">
        <w:trPr>
          <w:cantSplit/>
          <w:tblHeader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4691E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количество человек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                   (фамилия, имя, отчество (при наличии) 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4691E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8D39EF">
      <w:rPr>
        <w:noProof/>
      </w:rPr>
      <w:t>1</w:t>
    </w:r>
    <w:r>
      <w:fldChar w:fldCharType="end"/>
    </w:r>
  </w:p>
  <w:p w:rsidR="000A6EBC" w:rsidRDefault="008D39EF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A023D"/>
    <w:rsid w:val="000B330C"/>
    <w:rsid w:val="000B643C"/>
    <w:rsid w:val="000D11B9"/>
    <w:rsid w:val="000D4B9F"/>
    <w:rsid w:val="000D6941"/>
    <w:rsid w:val="000E334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D39EF"/>
    <w:rsid w:val="008E4C23"/>
    <w:rsid w:val="008F136E"/>
    <w:rsid w:val="00905DE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82BF2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77F88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D25407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77AF2"/>
    <w:rsid w:val="00F8393E"/>
    <w:rsid w:val="00F879DF"/>
    <w:rsid w:val="00FA21C0"/>
    <w:rsid w:val="00FA4DBC"/>
    <w:rsid w:val="00FB3ECD"/>
    <w:rsid w:val="00FB7DF9"/>
    <w:rsid w:val="00FD191A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Dosnkov.AY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02D02-5E17-4275-AF51-CEA7E3272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10</Pages>
  <Words>3142</Words>
  <Characters>17916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43</cp:revision>
  <cp:lastPrinted>2015-11-26T15:33:00Z</cp:lastPrinted>
  <dcterms:created xsi:type="dcterms:W3CDTF">2016-08-16T06:32:00Z</dcterms:created>
  <dcterms:modified xsi:type="dcterms:W3CDTF">2017-01-11T06:58:00Z</dcterms:modified>
</cp:coreProperties>
</file>