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912575" w:rsidTr="00874E17">
        <w:tc>
          <w:tcPr>
            <w:tcW w:w="4537" w:type="dxa"/>
          </w:tcPr>
          <w:p w:rsidR="004D7E87" w:rsidRPr="00912575" w:rsidRDefault="004D7E87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B4B8A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Начальник департамента </w:t>
            </w:r>
            <w:r w:rsidR="002B4B8A" w:rsidRPr="007E0393">
              <w:rPr>
                <w:sz w:val="24"/>
                <w:szCs w:val="24"/>
                <w:shd w:val="clear" w:color="auto" w:fill="FFFFFF"/>
              </w:rPr>
              <w:t xml:space="preserve">корпоративных </w:t>
            </w:r>
          </w:p>
          <w:p w:rsidR="00222139" w:rsidRPr="00912575" w:rsidRDefault="002B4B8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7E0393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222139" w:rsidRPr="00912575" w:rsidRDefault="00A971D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222139" w:rsidRDefault="00222139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B4B8A" w:rsidRPr="00912575" w:rsidRDefault="002B4B8A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 w:rsidR="002B4B8A">
              <w:rPr>
                <w:sz w:val="24"/>
                <w:szCs w:val="24"/>
                <w:shd w:val="clear" w:color="auto" w:fill="FFFFFF"/>
              </w:rPr>
              <w:t>Р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2B4B8A">
              <w:rPr>
                <w:sz w:val="24"/>
                <w:szCs w:val="24"/>
                <w:shd w:val="clear" w:color="auto" w:fill="FFFFFF"/>
              </w:rPr>
              <w:t>В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B4B8A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:rsidR="00222139" w:rsidRPr="00912575" w:rsidRDefault="00222139" w:rsidP="002B4B8A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201</w:t>
            </w:r>
            <w:r w:rsidR="002B4B8A">
              <w:rPr>
                <w:sz w:val="24"/>
                <w:szCs w:val="24"/>
                <w:shd w:val="clear" w:color="auto" w:fill="FFFFFF"/>
              </w:rPr>
              <w:t>9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:rsidR="00341384" w:rsidRPr="00912575" w:rsidRDefault="00A742E5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И.о</w:t>
            </w:r>
            <w:proofErr w:type="spellEnd"/>
            <w:r>
              <w:rPr>
                <w:iCs/>
                <w:sz w:val="24"/>
                <w:szCs w:val="24"/>
              </w:rPr>
              <w:t>. п</w:t>
            </w:r>
            <w:r w:rsidR="00341384" w:rsidRPr="00912575">
              <w:rPr>
                <w:iCs/>
                <w:sz w:val="24"/>
                <w:szCs w:val="24"/>
              </w:rPr>
              <w:t>ерв</w:t>
            </w:r>
            <w:r>
              <w:rPr>
                <w:iCs/>
                <w:sz w:val="24"/>
                <w:szCs w:val="24"/>
              </w:rPr>
              <w:t>ого</w:t>
            </w:r>
            <w:r w:rsidR="00341384" w:rsidRPr="00912575">
              <w:rPr>
                <w:iCs/>
                <w:sz w:val="24"/>
                <w:szCs w:val="24"/>
              </w:rPr>
              <w:t xml:space="preserve"> заместител</w:t>
            </w:r>
            <w:r>
              <w:rPr>
                <w:iCs/>
                <w:sz w:val="24"/>
                <w:szCs w:val="24"/>
              </w:rPr>
              <w:t>я</w:t>
            </w:r>
            <w:r w:rsidR="00341384" w:rsidRPr="00912575">
              <w:rPr>
                <w:iCs/>
                <w:sz w:val="24"/>
                <w:szCs w:val="24"/>
              </w:rPr>
              <w:t xml:space="preserve"> директора 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</w:t>
            </w:r>
            <w:r w:rsidR="00A742E5">
              <w:rPr>
                <w:iCs/>
                <w:sz w:val="24"/>
                <w:szCs w:val="24"/>
              </w:rPr>
              <w:t>ого</w:t>
            </w:r>
            <w:r w:rsidRPr="00912575">
              <w:rPr>
                <w:iCs/>
                <w:sz w:val="24"/>
                <w:szCs w:val="24"/>
              </w:rPr>
              <w:t xml:space="preserve"> инженер</w:t>
            </w:r>
            <w:r w:rsidR="00A742E5">
              <w:rPr>
                <w:iCs/>
                <w:sz w:val="24"/>
                <w:szCs w:val="24"/>
              </w:rPr>
              <w:t>а</w:t>
            </w:r>
          </w:p>
          <w:p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«МРСК Центра»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A742E5">
              <w:rPr>
                <w:iCs/>
                <w:sz w:val="24"/>
                <w:szCs w:val="24"/>
              </w:rPr>
              <w:t>С</w:t>
            </w:r>
            <w:r w:rsidR="00341384" w:rsidRPr="00912575">
              <w:rPr>
                <w:iCs/>
                <w:sz w:val="24"/>
                <w:szCs w:val="24"/>
              </w:rPr>
              <w:t>.</w:t>
            </w:r>
            <w:r w:rsidR="00A742E5">
              <w:rPr>
                <w:iCs/>
                <w:sz w:val="24"/>
                <w:szCs w:val="24"/>
              </w:rPr>
              <w:t>Ю</w:t>
            </w:r>
            <w:r w:rsidR="00341384" w:rsidRPr="00912575">
              <w:rPr>
                <w:iCs/>
                <w:sz w:val="24"/>
                <w:szCs w:val="24"/>
              </w:rPr>
              <w:t xml:space="preserve">. </w:t>
            </w:r>
            <w:r w:rsidR="00A742E5">
              <w:rPr>
                <w:iCs/>
                <w:sz w:val="24"/>
                <w:szCs w:val="24"/>
              </w:rPr>
              <w:t>Захаров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201</w:t>
            </w:r>
            <w:r w:rsidR="002B4B8A">
              <w:rPr>
                <w:iCs/>
                <w:sz w:val="24"/>
                <w:szCs w:val="24"/>
              </w:rPr>
              <w:t>9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  <w:bookmarkStart w:id="5" w:name="_GoBack"/>
      <w:bookmarkEnd w:id="5"/>
    </w:p>
    <w:p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:rsidR="00C27B79" w:rsidRPr="00912575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 w:rsidR="00962897">
        <w:rPr>
          <w:sz w:val="24"/>
          <w:szCs w:val="24"/>
        </w:rPr>
        <w:t xml:space="preserve"> № 5_57_70</w:t>
      </w: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AB1D3B" w:rsidRPr="00912575" w:rsidRDefault="00FF35E3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н</w:t>
      </w:r>
      <w:r w:rsidR="008A7B4B" w:rsidRPr="00912575">
        <w:rPr>
          <w:sz w:val="24"/>
          <w:szCs w:val="24"/>
        </w:rPr>
        <w:t>а п</w:t>
      </w:r>
      <w:r w:rsidR="002931BE" w:rsidRPr="00912575">
        <w:rPr>
          <w:sz w:val="24"/>
          <w:szCs w:val="24"/>
        </w:rPr>
        <w:t>оставк</w:t>
      </w:r>
      <w:r w:rsidR="008A7B4B" w:rsidRPr="00912575">
        <w:rPr>
          <w:sz w:val="24"/>
          <w:szCs w:val="24"/>
        </w:rPr>
        <w:t>у</w:t>
      </w:r>
      <w:r w:rsidR="002931BE" w:rsidRPr="00912575">
        <w:rPr>
          <w:sz w:val="24"/>
          <w:szCs w:val="24"/>
        </w:rPr>
        <w:t xml:space="preserve"> </w:t>
      </w:r>
      <w:r w:rsidR="002B4B8A" w:rsidRPr="002B4B8A">
        <w:rPr>
          <w:sz w:val="24"/>
          <w:szCs w:val="24"/>
        </w:rPr>
        <w:t>оборудования, материалов и комплектующих для СВТ, АСДУ и АСКУЭ</w:t>
      </w:r>
    </w:p>
    <w:p w:rsidR="00C27B79" w:rsidRDefault="00AB1D3B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«МРСК Центра» - «Орелэнерго»</w:t>
      </w:r>
    </w:p>
    <w:p w:rsidR="002B4B8A" w:rsidRPr="00912575" w:rsidRDefault="002B4B8A" w:rsidP="00AB1D3B">
      <w:pPr>
        <w:jc w:val="center"/>
        <w:rPr>
          <w:sz w:val="24"/>
          <w:szCs w:val="24"/>
        </w:rPr>
      </w:pPr>
    </w:p>
    <w:p w:rsidR="009462F7" w:rsidRDefault="00962897" w:rsidP="009462F7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на 5 листах</w:t>
      </w:r>
    </w:p>
    <w:p w:rsidR="00912575" w:rsidRDefault="00912575" w:rsidP="009462F7">
      <w:pPr>
        <w:ind w:left="34"/>
        <w:jc w:val="center"/>
        <w:rPr>
          <w:sz w:val="24"/>
          <w:szCs w:val="24"/>
        </w:rPr>
      </w:pPr>
    </w:p>
    <w:p w:rsidR="00912575" w:rsidRPr="00912575" w:rsidRDefault="00912575" w:rsidP="002B4B8A">
      <w:pPr>
        <w:rPr>
          <w:sz w:val="24"/>
          <w:szCs w:val="24"/>
        </w:rPr>
      </w:pP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912575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СОГЛАСОВАНО: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Заместитель начальника 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Департамента </w:t>
      </w:r>
      <w:proofErr w:type="spellStart"/>
      <w:r w:rsidRPr="002B4B8A">
        <w:rPr>
          <w:sz w:val="24"/>
          <w:szCs w:val="24"/>
        </w:rPr>
        <w:t>КиТАСУ</w:t>
      </w:r>
      <w:proofErr w:type="spellEnd"/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ПАО «МРСК Центра»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2B4B8A" w:rsidRPr="006562C7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6562C7">
        <w:rPr>
          <w:sz w:val="24"/>
          <w:szCs w:val="24"/>
        </w:rPr>
        <w:t>_______________ Е. Е. Симонов</w:t>
      </w:r>
    </w:p>
    <w:p w:rsidR="002B4B8A" w:rsidRPr="006562C7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9462F7" w:rsidRPr="00912575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«___»______________ 2019 г.</w:t>
      </w:r>
    </w:p>
    <w:p w:rsidR="001478C1" w:rsidRDefault="001478C1" w:rsidP="00AB1D3B">
      <w:pPr>
        <w:rPr>
          <w:rFonts w:eastAsia="Times New Roman"/>
          <w:sz w:val="24"/>
          <w:szCs w:val="24"/>
        </w:rPr>
      </w:pPr>
    </w:p>
    <w:p w:rsidR="002B4B8A" w:rsidRPr="00912575" w:rsidRDefault="002B4B8A" w:rsidP="00AB1D3B">
      <w:pPr>
        <w:rPr>
          <w:sz w:val="24"/>
          <w:szCs w:val="24"/>
        </w:rPr>
      </w:pPr>
    </w:p>
    <w:p w:rsidR="00C27B79" w:rsidRPr="00912575" w:rsidRDefault="00C27B79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173E36" w:rsidRPr="00912575" w:rsidTr="00680539">
        <w:tc>
          <w:tcPr>
            <w:tcW w:w="4537" w:type="dxa"/>
          </w:tcPr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F3EB5" w:rsidRDefault="001F3EB5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173E36" w:rsidRPr="00912575">
              <w:rPr>
                <w:sz w:val="24"/>
                <w:szCs w:val="24"/>
                <w:shd w:val="clear" w:color="auto" w:fill="FFFFFF"/>
              </w:rPr>
              <w:t xml:space="preserve">ачальник Управления ИТ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912575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173E36" w:rsidRPr="00912575" w:rsidRDefault="00173E36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</w:t>
            </w:r>
            <w:r w:rsidR="001F3EB5">
              <w:rPr>
                <w:sz w:val="24"/>
                <w:szCs w:val="24"/>
                <w:shd w:val="clear" w:color="auto" w:fill="FFFFFF"/>
              </w:rPr>
              <w:t>В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1F3EB5">
              <w:rPr>
                <w:sz w:val="24"/>
                <w:szCs w:val="24"/>
                <w:shd w:val="clear" w:color="auto" w:fill="FFFFFF"/>
              </w:rPr>
              <w:t>Подымский</w:t>
            </w:r>
          </w:p>
          <w:p w:rsidR="00173E36" w:rsidRPr="00912575" w:rsidRDefault="00173E36" w:rsidP="002B4B8A">
            <w:pPr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201</w:t>
            </w:r>
            <w:r w:rsidR="002B4B8A">
              <w:rPr>
                <w:sz w:val="24"/>
                <w:szCs w:val="24"/>
                <w:shd w:val="clear" w:color="auto" w:fill="FFFFFF"/>
              </w:rPr>
              <w:t>9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Начальник управления корпоративных и технологических АСУ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«МРСК Центра»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______________А.С. Комиссаров </w:t>
            </w: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201</w:t>
            </w:r>
            <w:r w:rsidR="002B4B8A">
              <w:rPr>
                <w:iCs/>
                <w:sz w:val="24"/>
                <w:szCs w:val="24"/>
              </w:rPr>
              <w:t>9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912575" w:rsidRDefault="00C27B79" w:rsidP="00173E36">
      <w:pPr>
        <w:ind w:left="34"/>
        <w:rPr>
          <w:sz w:val="24"/>
          <w:szCs w:val="24"/>
        </w:rPr>
      </w:pPr>
    </w:p>
    <w:p w:rsidR="008A7B4B" w:rsidRDefault="008A7B4B" w:rsidP="002B4B8A">
      <w:pPr>
        <w:rPr>
          <w:sz w:val="24"/>
          <w:szCs w:val="24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912575" w:rsidRDefault="00C27B79" w:rsidP="000A6305">
      <w:pPr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201</w:t>
      </w:r>
      <w:r w:rsidR="002B4B8A">
        <w:rPr>
          <w:sz w:val="24"/>
          <w:szCs w:val="24"/>
        </w:rPr>
        <w:t>9</w:t>
      </w:r>
      <w:r w:rsidR="006D48BE" w:rsidRPr="00912575">
        <w:rPr>
          <w:sz w:val="24"/>
          <w:szCs w:val="24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6" w:name="_Toc493512772"/>
      <w:bookmarkStart w:id="7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r w:rsidRPr="00912575">
        <w:rPr>
          <w:sz w:val="24"/>
          <w:szCs w:val="24"/>
        </w:rPr>
        <w:t>Оглавление</w:t>
      </w:r>
      <w:bookmarkEnd w:id="6"/>
      <w:bookmarkEnd w:id="7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25506" w:rsidRPr="00912575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912575">
        <w:rPr>
          <w:sz w:val="24"/>
        </w:rPr>
        <w:fldChar w:fldCharType="begin"/>
      </w:r>
      <w:r w:rsidR="003D4EF7" w:rsidRPr="00912575">
        <w:rPr>
          <w:sz w:val="24"/>
        </w:rPr>
        <w:instrText xml:space="preserve"> TOC \o "1-3" \h \z \u </w:instrText>
      </w:r>
      <w:r w:rsidRPr="00912575">
        <w:rPr>
          <w:sz w:val="24"/>
        </w:rPr>
        <w:fldChar w:fldCharType="separate"/>
      </w:r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4" w:history="1">
        <w:r w:rsidR="00225506" w:rsidRPr="00912575">
          <w:rPr>
            <w:rStyle w:val="a6"/>
            <w:noProof/>
            <w:sz w:val="24"/>
          </w:rPr>
          <w:t>1.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Общие данные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_Toc493512804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5" w:history="1">
        <w:r w:rsidR="00225506" w:rsidRPr="00912575">
          <w:rPr>
            <w:rStyle w:val="a6"/>
            <w:noProof/>
            <w:sz w:val="24"/>
          </w:rPr>
          <w:t>2.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Сроки начала/окончания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_Toc493512805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6" w:history="1">
        <w:r w:rsidR="00225506" w:rsidRPr="00912575">
          <w:rPr>
            <w:rStyle w:val="a6"/>
            <w:noProof/>
            <w:sz w:val="24"/>
          </w:rPr>
          <w:t>3.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Финансирование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_Toc493512806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7" w:history="1">
        <w:r w:rsidR="00225506" w:rsidRPr="00912575">
          <w:rPr>
            <w:rStyle w:val="a6"/>
            <w:noProof/>
            <w:sz w:val="24"/>
          </w:rPr>
          <w:t>4.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Требования к Поставщику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_Toc493512807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8" w:history="1">
        <w:r w:rsidR="00225506" w:rsidRPr="00912575">
          <w:rPr>
            <w:rStyle w:val="a6"/>
            <w:noProof/>
            <w:sz w:val="24"/>
          </w:rPr>
          <w:t>5.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_Toc493512808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9" w:history="1">
        <w:r w:rsidR="00225506" w:rsidRPr="00912575">
          <w:rPr>
            <w:rStyle w:val="a6"/>
            <w:noProof/>
            <w:sz w:val="24"/>
          </w:rPr>
          <w:t>6.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Гарантийные обязательства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_Toc493512809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0" w:history="1">
        <w:r w:rsidR="00225506" w:rsidRPr="00912575">
          <w:rPr>
            <w:rStyle w:val="a6"/>
            <w:noProof/>
            <w:sz w:val="24"/>
          </w:rPr>
          <w:t>7.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Условия и требования к поставке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_Toc493512810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1" w:history="1">
        <w:r w:rsidR="00225506" w:rsidRPr="00912575">
          <w:rPr>
            <w:rStyle w:val="a6"/>
            <w:noProof/>
            <w:sz w:val="24"/>
          </w:rPr>
          <w:t>8.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Правила приёмки оборудования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_Toc493512811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2" w:history="1">
        <w:r w:rsidR="00225506" w:rsidRPr="00912575">
          <w:rPr>
            <w:rStyle w:val="a6"/>
            <w:noProof/>
            <w:sz w:val="24"/>
          </w:rPr>
          <w:t>9.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Стоимость и оплата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_Toc493512812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5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5D2A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3" w:history="1">
        <w:r w:rsidR="00225506" w:rsidRPr="00912575">
          <w:rPr>
            <w:rStyle w:val="a6"/>
            <w:noProof/>
            <w:sz w:val="24"/>
          </w:rPr>
          <w:t>Приложение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_Toc493512813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6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46066E" w:rsidRPr="00912575" w:rsidRDefault="00203507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912575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" w:name="_Toc493512804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8"/>
    </w:p>
    <w:p w:rsidR="00AF2E1D" w:rsidRPr="00912575" w:rsidRDefault="00906DBA" w:rsidP="00DE791A">
      <w:pPr>
        <w:pStyle w:val="BodyText21"/>
        <w:spacing w:line="264" w:lineRule="auto"/>
        <w:ind w:firstLine="0"/>
        <w:rPr>
          <w:szCs w:val="24"/>
        </w:rPr>
      </w:pPr>
      <w:bookmarkStart w:id="9" w:name="_Toc283041255"/>
      <w:bookmarkStart w:id="10" w:name="_Toc287003544"/>
      <w:bookmarkStart w:id="11" w:name="_Toc287003613"/>
      <w:bookmarkStart w:id="12" w:name="_Toc287003861"/>
      <w:bookmarkStart w:id="13" w:name="_Toc287003924"/>
      <w:bookmarkStart w:id="14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912575">
        <w:rPr>
          <w:szCs w:val="24"/>
        </w:rPr>
        <w:t xml:space="preserve">на </w:t>
      </w:r>
      <w:r w:rsidR="00341384" w:rsidRPr="00912575">
        <w:rPr>
          <w:szCs w:val="24"/>
        </w:rPr>
        <w:t xml:space="preserve">поставку </w:t>
      </w:r>
      <w:r w:rsidR="002B4B8A" w:rsidRPr="002B4B8A">
        <w:rPr>
          <w:szCs w:val="24"/>
        </w:rPr>
        <w:t>оборудования, материалов и комплектующих для СВТ, АСДУ и АСКУЭ</w:t>
      </w:r>
      <w:r w:rsidR="000431FA" w:rsidRPr="00912575">
        <w:rPr>
          <w:szCs w:val="24"/>
        </w:rPr>
        <w:t xml:space="preserve"> </w:t>
      </w:r>
      <w:r w:rsidRPr="00912575">
        <w:rPr>
          <w:szCs w:val="24"/>
        </w:rPr>
        <w:t xml:space="preserve">для нужд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 - 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AC1C28" w:rsidRPr="00912575">
        <w:rPr>
          <w:szCs w:val="24"/>
        </w:rPr>
        <w:t>.</w:t>
      </w:r>
      <w:bookmarkEnd w:id="9"/>
      <w:bookmarkEnd w:id="10"/>
      <w:bookmarkEnd w:id="11"/>
      <w:bookmarkEnd w:id="12"/>
      <w:bookmarkEnd w:id="13"/>
      <w:bookmarkEnd w:id="14"/>
    </w:p>
    <w:p w:rsidR="00260602" w:rsidRPr="00912575" w:rsidRDefault="00AF2E1D" w:rsidP="008D7B8E">
      <w:pPr>
        <w:ind w:left="34"/>
        <w:rPr>
          <w:b/>
          <w:sz w:val="24"/>
          <w:szCs w:val="24"/>
        </w:rPr>
      </w:pPr>
      <w:bookmarkStart w:id="15" w:name="_Toc287003614"/>
      <w:r w:rsidRPr="00912575">
        <w:rPr>
          <w:b/>
          <w:sz w:val="24"/>
          <w:szCs w:val="24"/>
        </w:rPr>
        <w:t>Заказчик</w:t>
      </w:r>
      <w:bookmarkEnd w:id="15"/>
      <w:r w:rsidR="00595011" w:rsidRPr="00912575">
        <w:rPr>
          <w:b/>
          <w:sz w:val="24"/>
          <w:szCs w:val="24"/>
        </w:rPr>
        <w:t>:</w:t>
      </w:r>
    </w:p>
    <w:p w:rsidR="00966D75" w:rsidRPr="00912575" w:rsidRDefault="00E262E9" w:rsidP="00DE791A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 xml:space="preserve">Филиал </w:t>
      </w:r>
      <w:r w:rsidR="00A971DA" w:rsidRPr="00912575">
        <w:rPr>
          <w:szCs w:val="24"/>
        </w:rPr>
        <w:t>ПАО</w:t>
      </w:r>
      <w:r w:rsidR="001C2AFD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7175F7" w:rsidRPr="00912575">
        <w:rPr>
          <w:szCs w:val="24"/>
        </w:rPr>
        <w:t xml:space="preserve">МРСК </w:t>
      </w:r>
      <w:r w:rsidR="0049481D" w:rsidRPr="00912575">
        <w:rPr>
          <w:szCs w:val="24"/>
        </w:rPr>
        <w:t>Центра»</w:t>
      </w:r>
      <w:r w:rsidR="00AB1D3B" w:rsidRPr="00912575">
        <w:rPr>
          <w:szCs w:val="24"/>
        </w:rPr>
        <w:t xml:space="preserve"> </w:t>
      </w:r>
      <w:r w:rsidR="0049481D" w:rsidRPr="00912575">
        <w:rPr>
          <w:szCs w:val="24"/>
        </w:rPr>
        <w:t>- «</w:t>
      </w:r>
      <w:r w:rsidR="002931BE" w:rsidRPr="00912575">
        <w:rPr>
          <w:szCs w:val="24"/>
        </w:rPr>
        <w:t>Орелэнерго</w:t>
      </w:r>
      <w:r w:rsidR="0049481D" w:rsidRPr="00912575">
        <w:rPr>
          <w:szCs w:val="24"/>
        </w:rPr>
        <w:t>»</w:t>
      </w:r>
      <w:r w:rsidR="009F5E55" w:rsidRPr="00912575">
        <w:rPr>
          <w:szCs w:val="24"/>
        </w:rPr>
        <w:t xml:space="preserve">, </w:t>
      </w:r>
      <w:r w:rsidR="0049481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49481D" w:rsidRPr="00912575">
        <w:rPr>
          <w:szCs w:val="24"/>
        </w:rPr>
        <w:t>,</w:t>
      </w:r>
      <w:r w:rsidR="00717B48" w:rsidRPr="00912575">
        <w:rPr>
          <w:szCs w:val="24"/>
        </w:rPr>
        <w:t xml:space="preserve"> </w:t>
      </w:r>
      <w:r w:rsidR="00341384" w:rsidRPr="00912575">
        <w:rPr>
          <w:szCs w:val="24"/>
        </w:rPr>
        <w:t>пл</w:t>
      </w:r>
      <w:r w:rsidR="00E1611A" w:rsidRPr="00912575">
        <w:rPr>
          <w:szCs w:val="24"/>
        </w:rPr>
        <w:t>.</w:t>
      </w:r>
      <w:r w:rsidR="00874E17" w:rsidRPr="00912575">
        <w:rPr>
          <w:szCs w:val="24"/>
        </w:rPr>
        <w:t> </w:t>
      </w:r>
      <w:r w:rsidR="00341384" w:rsidRPr="00912575">
        <w:rPr>
          <w:szCs w:val="24"/>
        </w:rPr>
        <w:t>Мира</w:t>
      </w:r>
      <w:r w:rsidR="00E1611A" w:rsidRPr="00912575">
        <w:rPr>
          <w:szCs w:val="24"/>
        </w:rPr>
        <w:t>,</w:t>
      </w:r>
      <w:r w:rsidR="009F5E55" w:rsidRPr="00912575">
        <w:rPr>
          <w:szCs w:val="24"/>
        </w:rPr>
        <w:t xml:space="preserve"> д.</w:t>
      </w:r>
      <w:r w:rsidR="00341384" w:rsidRPr="00912575">
        <w:rPr>
          <w:szCs w:val="24"/>
        </w:rPr>
        <w:t xml:space="preserve"> </w:t>
      </w:r>
      <w:r w:rsidR="006D48BE" w:rsidRPr="00912575">
        <w:rPr>
          <w:szCs w:val="24"/>
        </w:rPr>
        <w:t>2</w:t>
      </w:r>
      <w:r w:rsidR="00E1611A" w:rsidRPr="00912575">
        <w:rPr>
          <w:szCs w:val="24"/>
        </w:rPr>
        <w:t xml:space="preserve"> </w:t>
      </w:r>
    </w:p>
    <w:p w:rsidR="00AD764C" w:rsidRPr="00912575" w:rsidRDefault="00AC1AB2" w:rsidP="00DE791A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</w:t>
      </w:r>
      <w:r w:rsidR="00AD764C" w:rsidRPr="00912575">
        <w:rPr>
          <w:b/>
          <w:sz w:val="24"/>
          <w:szCs w:val="24"/>
        </w:rPr>
        <w:t>:</w:t>
      </w:r>
      <w:r w:rsidR="00AD764C" w:rsidRPr="00912575">
        <w:rPr>
          <w:sz w:val="24"/>
          <w:szCs w:val="24"/>
        </w:rPr>
        <w:t xml:space="preserve"> определяется по итогам </w:t>
      </w:r>
      <w:r w:rsidR="00627C65" w:rsidRPr="00912575">
        <w:rPr>
          <w:sz w:val="24"/>
          <w:szCs w:val="24"/>
        </w:rPr>
        <w:t>торговой процедуры</w:t>
      </w:r>
      <w:r w:rsidR="00AD764C" w:rsidRPr="00912575">
        <w:rPr>
          <w:sz w:val="24"/>
          <w:szCs w:val="24"/>
        </w:rPr>
        <w:t>.</w:t>
      </w:r>
    </w:p>
    <w:p w:rsidR="007A2D75" w:rsidRPr="00912575" w:rsidRDefault="007A2D75" w:rsidP="00DE791A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</w:t>
      </w:r>
      <w:r w:rsidR="001478C1" w:rsidRPr="00912575">
        <w:rPr>
          <w:sz w:val="24"/>
          <w:szCs w:val="24"/>
        </w:rPr>
        <w:t>Поставщика</w:t>
      </w:r>
      <w:r w:rsidRPr="00912575">
        <w:rPr>
          <w:sz w:val="24"/>
          <w:szCs w:val="24"/>
        </w:rPr>
        <w:t xml:space="preserve"> для заключения договора </w:t>
      </w:r>
      <w:r w:rsidR="00341384" w:rsidRPr="00912575">
        <w:rPr>
          <w:sz w:val="24"/>
          <w:szCs w:val="24"/>
        </w:rPr>
        <w:t xml:space="preserve">поставки </w:t>
      </w:r>
      <w:r w:rsidR="002B4B8A" w:rsidRPr="002B4B8A">
        <w:rPr>
          <w:sz w:val="24"/>
          <w:szCs w:val="24"/>
        </w:rPr>
        <w:t>оборудования, материалов и комплектующих для СВТ, АСДУ и АСКУЭ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- «</w:t>
      </w:r>
      <w:r w:rsidR="002931BE" w:rsidRPr="00912575">
        <w:rPr>
          <w:sz w:val="24"/>
          <w:szCs w:val="24"/>
        </w:rPr>
        <w:t>Орелэнерго</w:t>
      </w:r>
      <w:r w:rsidR="002D4203" w:rsidRPr="00912575">
        <w:rPr>
          <w:sz w:val="24"/>
          <w:szCs w:val="24"/>
        </w:rPr>
        <w:t>».</w:t>
      </w:r>
    </w:p>
    <w:p w:rsidR="007C327F" w:rsidRPr="00912575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6" w:name="_Toc287003616"/>
      <w:bookmarkStart w:id="17" w:name="_Toc319666312"/>
      <w:bookmarkStart w:id="18" w:name="_Toc493512805"/>
      <w:r w:rsidRPr="00912575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912575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6"/>
      <w:bookmarkEnd w:id="17"/>
      <w:r w:rsidR="00906DBA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8"/>
    </w:p>
    <w:p w:rsidR="006D48BE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</w:t>
      </w:r>
      <w:r w:rsidR="007E1094" w:rsidRPr="00912575">
        <w:rPr>
          <w:szCs w:val="24"/>
        </w:rPr>
        <w:t>с</w:t>
      </w:r>
      <w:r w:rsidR="00AC7C79" w:rsidRPr="00912575">
        <w:rPr>
          <w:szCs w:val="24"/>
        </w:rPr>
        <w:t xml:space="preserve"> </w:t>
      </w:r>
      <w:r w:rsidR="000A76BC">
        <w:rPr>
          <w:szCs w:val="24"/>
        </w:rPr>
        <w:t>момента заключения договора</w:t>
      </w:r>
      <w:r w:rsidR="003D5D28" w:rsidRPr="00912575">
        <w:rPr>
          <w:szCs w:val="24"/>
        </w:rPr>
        <w:t>.</w:t>
      </w:r>
      <w:r w:rsidR="006D48BE" w:rsidRPr="00912575">
        <w:rPr>
          <w:szCs w:val="24"/>
        </w:rPr>
        <w:t xml:space="preserve"> </w:t>
      </w:r>
    </w:p>
    <w:p w:rsidR="007E1094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2B4B8A">
        <w:rPr>
          <w:szCs w:val="24"/>
        </w:rPr>
        <w:t>до 31.12.2019г</w:t>
      </w:r>
      <w:r w:rsidR="003F6490" w:rsidRPr="00912575">
        <w:rPr>
          <w:szCs w:val="24"/>
        </w:rPr>
        <w:t>.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9" w:name="_Toc319666313"/>
      <w:bookmarkStart w:id="20" w:name="_Toc493512806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9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20"/>
    </w:p>
    <w:p w:rsidR="00C27B79" w:rsidRPr="00912575" w:rsidRDefault="002B4B8A" w:rsidP="00DE791A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2B4B8A">
        <w:rPr>
          <w:b w:val="0"/>
          <w:sz w:val="24"/>
          <w:szCs w:val="24"/>
        </w:rPr>
        <w:t>Выполняется на основании</w:t>
      </w:r>
      <w:r w:rsidR="006562C7">
        <w:rPr>
          <w:b w:val="0"/>
          <w:sz w:val="24"/>
          <w:szCs w:val="24"/>
        </w:rPr>
        <w:t xml:space="preserve"> Плана закупок 2019г.</w:t>
      </w:r>
      <w:r w:rsidRPr="002B4B8A">
        <w:rPr>
          <w:b w:val="0"/>
          <w:sz w:val="24"/>
          <w:szCs w:val="24"/>
        </w:rPr>
        <w:t xml:space="preserve"> 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4" w:name="_Toc493512807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1"/>
      <w:bookmarkEnd w:id="32"/>
      <w:bookmarkEnd w:id="33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4"/>
    </w:p>
    <w:p w:rsidR="000431FA" w:rsidRPr="00912575" w:rsidRDefault="000431FA" w:rsidP="00F86E7F">
      <w:pPr>
        <w:pStyle w:val="BodyText21"/>
        <w:spacing w:line="264" w:lineRule="auto"/>
        <w:rPr>
          <w:szCs w:val="24"/>
        </w:rPr>
      </w:pPr>
      <w:bookmarkStart w:id="35" w:name="_Toc274560385"/>
      <w:r w:rsidRPr="00912575">
        <w:rPr>
          <w:szCs w:val="24"/>
        </w:rPr>
        <w:t>Участник торговой процедуры долж</w:t>
      </w:r>
      <w:r w:rsidR="00AC1AB2" w:rsidRPr="00912575">
        <w:rPr>
          <w:szCs w:val="24"/>
        </w:rPr>
        <w:t>е</w:t>
      </w:r>
      <w:r w:rsidRPr="00912575">
        <w:rPr>
          <w:szCs w:val="24"/>
        </w:rPr>
        <w:t xml:space="preserve">н иметь опыт работы в области поставок подобного </w:t>
      </w:r>
      <w:r w:rsidR="008D0544" w:rsidRPr="00912575">
        <w:rPr>
          <w:szCs w:val="24"/>
        </w:rPr>
        <w:t>оборудования   – не менее 2 лет.</w:t>
      </w:r>
    </w:p>
    <w:p w:rsidR="00401E6E" w:rsidRPr="00912575" w:rsidRDefault="000431FA" w:rsidP="00F86E7F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  <w:r w:rsidR="008A7B4B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49351280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3"/>
      <w:bookmarkEnd w:id="104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bookmarkStart w:id="105" w:name="_Toc351445387"/>
      <w:bookmarkStart w:id="106" w:name="_Toc358363927"/>
      <w:bookmarkStart w:id="107" w:name="_Toc358363969"/>
      <w:bookmarkStart w:id="108" w:name="_Toc358364033"/>
      <w:bookmarkStart w:id="109" w:name="_Toc358364649"/>
      <w:bookmarkStart w:id="110" w:name="_Toc358364862"/>
      <w:bookmarkStart w:id="111" w:name="_Toc363475163"/>
      <w:bookmarkStart w:id="112" w:name="_Toc351445388"/>
      <w:bookmarkStart w:id="113" w:name="_Toc358363928"/>
      <w:bookmarkStart w:id="114" w:name="_Toc358363970"/>
      <w:bookmarkStart w:id="115" w:name="_Toc358364034"/>
      <w:bookmarkStart w:id="116" w:name="_Toc358364650"/>
      <w:bookmarkStart w:id="117" w:name="_Toc358364863"/>
      <w:bookmarkStart w:id="118" w:name="_Toc363475164"/>
      <w:bookmarkStart w:id="119" w:name="_Toc351445389"/>
      <w:bookmarkStart w:id="120" w:name="_Toc358363929"/>
      <w:bookmarkStart w:id="121" w:name="_Toc358363971"/>
      <w:bookmarkStart w:id="122" w:name="_Toc358364035"/>
      <w:bookmarkStart w:id="123" w:name="_Toc358364651"/>
      <w:bookmarkStart w:id="124" w:name="_Toc358364864"/>
      <w:bookmarkStart w:id="125" w:name="_Toc363475165"/>
      <w:bookmarkStart w:id="126" w:name="_Toc351445390"/>
      <w:bookmarkStart w:id="127" w:name="_Toc358363930"/>
      <w:bookmarkStart w:id="128" w:name="_Toc358363972"/>
      <w:bookmarkStart w:id="129" w:name="_Toc358364036"/>
      <w:bookmarkStart w:id="130" w:name="_Toc358364652"/>
      <w:bookmarkStart w:id="131" w:name="_Toc358364865"/>
      <w:bookmarkStart w:id="132" w:name="_Toc363475166"/>
      <w:bookmarkStart w:id="133" w:name="_Toc349571108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912575">
        <w:rPr>
          <w:szCs w:val="24"/>
        </w:rPr>
        <w:t>Закупаемое оборудование должно быть новым и ранее не используемым, дата изготовления не ранее 201</w:t>
      </w:r>
      <w:r w:rsidR="00AB1D3B" w:rsidRPr="00912575">
        <w:rPr>
          <w:szCs w:val="24"/>
        </w:rPr>
        <w:t>8</w:t>
      </w:r>
      <w:r w:rsidRPr="00912575">
        <w:rPr>
          <w:szCs w:val="24"/>
        </w:rPr>
        <w:t xml:space="preserve"> года, иметь количест</w:t>
      </w:r>
      <w:r w:rsidR="00AB1D3B" w:rsidRPr="00912575">
        <w:rPr>
          <w:szCs w:val="24"/>
        </w:rPr>
        <w:t>во и состав согласно Приложению</w:t>
      </w:r>
      <w:r w:rsidRPr="00912575">
        <w:rPr>
          <w:szCs w:val="24"/>
        </w:rPr>
        <w:t xml:space="preserve"> к настоящему Техническому заданию.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4" w:name="_Toc493512809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4"/>
    </w:p>
    <w:p w:rsidR="00095AD9" w:rsidRPr="00912575" w:rsidRDefault="00BD519F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912575">
        <w:rPr>
          <w:szCs w:val="24"/>
        </w:rPr>
        <w:t xml:space="preserve">на оборудование должна распространяться не менее чем </w:t>
      </w:r>
      <w:r w:rsidR="00D5301E" w:rsidRPr="00912575">
        <w:rPr>
          <w:szCs w:val="24"/>
        </w:rPr>
        <w:t>на сроки</w:t>
      </w:r>
      <w:r w:rsidR="00AB1D3B" w:rsidRPr="00912575">
        <w:rPr>
          <w:szCs w:val="24"/>
        </w:rPr>
        <w:t>,</w:t>
      </w:r>
      <w:r w:rsidR="00D5301E" w:rsidRPr="00912575">
        <w:rPr>
          <w:szCs w:val="24"/>
        </w:rPr>
        <w:t xml:space="preserve"> указанные в Приложении</w:t>
      </w:r>
      <w:r w:rsidR="00AB1D3B" w:rsidRPr="00912575">
        <w:rPr>
          <w:szCs w:val="24"/>
        </w:rPr>
        <w:t xml:space="preserve"> к настоящему Техническому заданию</w:t>
      </w:r>
      <w:r w:rsidR="00095AD9" w:rsidRPr="00912575">
        <w:rPr>
          <w:szCs w:val="24"/>
        </w:rPr>
        <w:t>.</w:t>
      </w:r>
    </w:p>
    <w:p w:rsidR="00401E6E" w:rsidRPr="00912575" w:rsidRDefault="00401E6E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341384" w:rsidRPr="00912575">
        <w:rPr>
          <w:szCs w:val="24"/>
        </w:rPr>
        <w:t>Орле</w:t>
      </w:r>
      <w:r w:rsidRPr="00912575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D5301E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9462F7" w:rsidRPr="00912575">
        <w:rPr>
          <w:szCs w:val="24"/>
        </w:rPr>
        <w:t>1</w:t>
      </w:r>
      <w:r w:rsidR="00BD519F" w:rsidRPr="00912575">
        <w:rPr>
          <w:szCs w:val="24"/>
        </w:rPr>
        <w:t>0</w:t>
      </w:r>
      <w:r w:rsidRPr="00912575">
        <w:rPr>
          <w:szCs w:val="24"/>
        </w:rPr>
        <w:t xml:space="preserve"> (</w:t>
      </w:r>
      <w:r w:rsidR="009462F7" w:rsidRPr="00912575">
        <w:rPr>
          <w:szCs w:val="24"/>
        </w:rPr>
        <w:t>десяти</w:t>
      </w:r>
      <w:r w:rsidRPr="00912575">
        <w:rPr>
          <w:szCs w:val="24"/>
        </w:rPr>
        <w:t xml:space="preserve">) </w:t>
      </w:r>
      <w:r w:rsidR="00BD519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736FAA" w:rsidRPr="00912575">
        <w:rPr>
          <w:szCs w:val="24"/>
        </w:rPr>
        <w:t>.</w:t>
      </w:r>
    </w:p>
    <w:p w:rsidR="005F0F37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5" w:name="_Toc493512810"/>
      <w:bookmarkStart w:id="136" w:name="_Toc291589529"/>
      <w:bookmarkStart w:id="137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5"/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8" w:name="_Toc493512811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6"/>
      <w:bookmarkEnd w:id="137"/>
      <w:bookmarkEnd w:id="138"/>
    </w:p>
    <w:p w:rsidR="008F3B8D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 при получении оборудования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», расположенного по адресу: </w:t>
      </w:r>
      <w:r w:rsidR="008F3B8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8F3B8D" w:rsidRPr="00912575">
        <w:rPr>
          <w:szCs w:val="24"/>
        </w:rPr>
        <w:t xml:space="preserve">, </w:t>
      </w:r>
      <w:r w:rsidR="00AC1AB2" w:rsidRPr="00912575">
        <w:rPr>
          <w:szCs w:val="24"/>
        </w:rPr>
        <w:t>ул. Высоковольтная д.9</w:t>
      </w:r>
      <w:r w:rsidR="008F3B8D" w:rsidRPr="00912575">
        <w:rPr>
          <w:szCs w:val="24"/>
        </w:rPr>
        <w:t>.</w:t>
      </w:r>
      <w:r w:rsidR="00AC1AB2" w:rsidRPr="00912575">
        <w:rPr>
          <w:szCs w:val="24"/>
        </w:rPr>
        <w:t xml:space="preserve"> 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12575">
        <w:rPr>
          <w:szCs w:val="24"/>
        </w:rPr>
        <w:t xml:space="preserve"> путем</w:t>
      </w:r>
      <w:r w:rsidRPr="00912575">
        <w:rPr>
          <w:szCs w:val="24"/>
        </w:rPr>
        <w:t xml:space="preserve"> проведени</w:t>
      </w:r>
      <w:r w:rsidR="00AB1D3B" w:rsidRPr="00912575">
        <w:rPr>
          <w:szCs w:val="24"/>
        </w:rPr>
        <w:t>я</w:t>
      </w:r>
      <w:r w:rsidRPr="00912575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bookmarkStart w:id="139" w:name="_Toc291589530"/>
      <w:bookmarkStart w:id="140" w:name="_Toc319666319"/>
      <w:bookmarkEnd w:id="35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401E6E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Дополнительные условия приемки </w:t>
      </w:r>
      <w:r w:rsidR="00AB1D3B" w:rsidRPr="00912575">
        <w:rPr>
          <w:szCs w:val="24"/>
        </w:rPr>
        <w:t>товара</w:t>
      </w:r>
      <w:r w:rsidRPr="00912575">
        <w:rPr>
          <w:szCs w:val="24"/>
        </w:rPr>
        <w:t xml:space="preserve"> по качеству и количеству устанавливаются Договором поставки.</w:t>
      </w:r>
    </w:p>
    <w:p w:rsidR="009F5E55" w:rsidRPr="00912575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1" w:name="_Toc493512812"/>
      <w:r w:rsidRPr="00912575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912575">
        <w:rPr>
          <w:rFonts w:ascii="Times New Roman" w:hAnsi="Times New Roman"/>
          <w:color w:val="auto"/>
          <w:sz w:val="24"/>
          <w:szCs w:val="24"/>
        </w:rPr>
        <w:t>плата</w:t>
      </w:r>
      <w:bookmarkEnd w:id="141"/>
      <w:r w:rsidR="009F5E55"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9"/>
      <w:bookmarkEnd w:id="140"/>
    </w:p>
    <w:p w:rsidR="007D0E03" w:rsidRPr="00912575" w:rsidRDefault="007D0E03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</w:t>
      </w:r>
      <w:r w:rsidR="006D1C19" w:rsidRPr="00912575">
        <w:rPr>
          <w:szCs w:val="24"/>
        </w:rPr>
        <w:t xml:space="preserve"> </w:t>
      </w:r>
      <w:r w:rsidRPr="00912575">
        <w:rPr>
          <w:szCs w:val="24"/>
        </w:rPr>
        <w:t>на условиях, указанных в конкурсной документации.</w:t>
      </w:r>
    </w:p>
    <w:p w:rsidR="00CA0047" w:rsidRPr="00912575" w:rsidRDefault="00CA0047" w:rsidP="00C5621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  <w:szCs w:val="24"/>
        </w:rPr>
      </w:pP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684"/>
        <w:gridCol w:w="1938"/>
        <w:gridCol w:w="1366"/>
        <w:gridCol w:w="140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Начальник службы эксплуатации СДТУ и ИТ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Багров Владимир Викторович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709"/>
        <w:gridCol w:w="1929"/>
        <w:gridCol w:w="1363"/>
        <w:gridCol w:w="139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Pr="00912575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Начальник отдела </w:t>
            </w:r>
            <w:proofErr w:type="spellStart"/>
            <w:r w:rsidRPr="00912575">
              <w:rPr>
                <w:sz w:val="24"/>
                <w:szCs w:val="24"/>
              </w:rPr>
              <w:t>контроллинга</w:t>
            </w:r>
            <w:proofErr w:type="spellEnd"/>
            <w:r w:rsidRPr="00912575">
              <w:rPr>
                <w:sz w:val="24"/>
                <w:szCs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2B4B8A">
          <w:headerReference w:type="default" r:id="rId8"/>
          <w:headerReference w:type="first" r:id="rId9"/>
          <w:pgSz w:w="11906" w:h="16838"/>
          <w:pgMar w:top="567" w:right="567" w:bottom="709" w:left="1531" w:header="568" w:footer="784" w:gutter="0"/>
          <w:cols w:space="708"/>
          <w:titlePg/>
          <w:docGrid w:linePitch="381"/>
        </w:sectPr>
      </w:pPr>
    </w:p>
    <w:p w:rsidR="00BC32E9" w:rsidRPr="00912575" w:rsidRDefault="00BC32E9" w:rsidP="008D7B8E">
      <w:pPr>
        <w:pStyle w:val="21"/>
        <w:rPr>
          <w:szCs w:val="24"/>
        </w:rPr>
      </w:pPr>
      <w:bookmarkStart w:id="142" w:name="_Toc493512813"/>
      <w:r w:rsidRPr="00912575">
        <w:rPr>
          <w:szCs w:val="24"/>
        </w:rPr>
        <w:lastRenderedPageBreak/>
        <w:t>Приложение</w:t>
      </w:r>
      <w:bookmarkEnd w:id="142"/>
    </w:p>
    <w:p w:rsidR="004D340C" w:rsidRPr="00912575" w:rsidRDefault="00BC32E9" w:rsidP="004D340C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на </w:t>
      </w:r>
      <w:r w:rsidR="00341384" w:rsidRPr="00912575">
        <w:rPr>
          <w:sz w:val="24"/>
          <w:szCs w:val="24"/>
        </w:rPr>
        <w:t xml:space="preserve">поставку </w:t>
      </w:r>
    </w:p>
    <w:p w:rsidR="002B4B8A" w:rsidRDefault="002B4B8A" w:rsidP="004D340C">
      <w:pPr>
        <w:jc w:val="right"/>
        <w:rPr>
          <w:sz w:val="24"/>
          <w:szCs w:val="24"/>
        </w:rPr>
      </w:pPr>
      <w:r w:rsidRPr="002B4B8A">
        <w:rPr>
          <w:sz w:val="24"/>
          <w:szCs w:val="24"/>
        </w:rPr>
        <w:t>оборудования, материалов и комплектующих для СВТ, АСДУ и АСКУЭ</w:t>
      </w:r>
    </w:p>
    <w:p w:rsidR="002E290B" w:rsidRPr="00912575" w:rsidRDefault="00293AEE" w:rsidP="002B4B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="00BC32E9" w:rsidRPr="00912575">
        <w:rPr>
          <w:sz w:val="24"/>
          <w:szCs w:val="24"/>
        </w:rPr>
        <w:t xml:space="preserve"> «МРСК Центра» -</w:t>
      </w:r>
      <w:r w:rsidR="002D4203" w:rsidRPr="00912575"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>«</w:t>
      </w:r>
      <w:r w:rsidR="002931BE" w:rsidRPr="00912575">
        <w:rPr>
          <w:sz w:val="24"/>
          <w:szCs w:val="24"/>
        </w:rPr>
        <w:t>Орелэнерго</w:t>
      </w:r>
      <w:r w:rsidR="00BC32E9" w:rsidRPr="00912575">
        <w:rPr>
          <w:sz w:val="24"/>
          <w:szCs w:val="24"/>
        </w:rPr>
        <w:t>»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5086" w:type="pct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720"/>
        <w:gridCol w:w="5183"/>
        <w:gridCol w:w="971"/>
        <w:gridCol w:w="830"/>
      </w:tblGrid>
      <w:tr w:rsidR="00FC3E6F" w:rsidRPr="00BC2CEA" w:rsidTr="009802B3">
        <w:trPr>
          <w:trHeight w:val="10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39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  <w:p w:rsidR="00BC2CEA" w:rsidRPr="00BC2CEA" w:rsidRDefault="00BC2CE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  <w:r w:rsidR="0042738A">
              <w:rPr>
                <w:rFonts w:eastAsia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42738A">
              <w:rPr>
                <w:rFonts w:eastAsia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42738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Гарантия,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мес</w:t>
            </w:r>
            <w:proofErr w:type="spellEnd"/>
            <w:r w:rsidR="00680539" w:rsidRPr="00BC2CEA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802B3" w:rsidRPr="00BC2CEA" w:rsidTr="009802B3">
        <w:trPr>
          <w:trHeight w:val="220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  <w:p w:rsidR="009802B3" w:rsidRDefault="009802B3" w:rsidP="009802B3">
            <w:pPr>
              <w:pStyle w:val="afd"/>
            </w:pPr>
          </w:p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  <w:r w:rsidRPr="00A8680D">
              <w:rPr>
                <w:rFonts w:eastAsia="Times New Roman"/>
                <w:sz w:val="22"/>
                <w:szCs w:val="22"/>
              </w:rPr>
              <w:t xml:space="preserve">Проектор </w:t>
            </w:r>
            <w:proofErr w:type="spellStart"/>
            <w:r w:rsidRPr="00A8680D">
              <w:rPr>
                <w:rFonts w:eastAsia="Times New Roman"/>
                <w:sz w:val="22"/>
                <w:szCs w:val="22"/>
              </w:rPr>
              <w:t>BenQ</w:t>
            </w:r>
            <w:proofErr w:type="spellEnd"/>
            <w:r w:rsidRPr="00A8680D">
              <w:rPr>
                <w:rFonts w:eastAsia="Times New Roman"/>
                <w:sz w:val="22"/>
                <w:szCs w:val="22"/>
              </w:rPr>
              <w:t xml:space="preserve"> MH530</w:t>
            </w:r>
            <w:r>
              <w:rPr>
                <w:rFonts w:eastAsia="Times New Roman"/>
                <w:sz w:val="22"/>
                <w:szCs w:val="22"/>
              </w:rPr>
              <w:t xml:space="preserve"> (или аналог)</w:t>
            </w:r>
          </w:p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  <w:p w:rsidR="009802B3" w:rsidRPr="009844C1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C72580" w:rsidRDefault="009802B3" w:rsidP="009802B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2580">
              <w:rPr>
                <w:sz w:val="22"/>
                <w:szCs w:val="22"/>
                <w:lang w:val="en-US"/>
              </w:rPr>
              <w:t xml:space="preserve">(DLP, 3200 </w:t>
            </w:r>
            <w:r w:rsidRPr="00C72580">
              <w:rPr>
                <w:sz w:val="22"/>
                <w:szCs w:val="22"/>
              </w:rPr>
              <w:t>люмен</w:t>
            </w:r>
            <w:r w:rsidRPr="00C72580">
              <w:rPr>
                <w:sz w:val="22"/>
                <w:szCs w:val="22"/>
                <w:lang w:val="en-US"/>
              </w:rPr>
              <w:t xml:space="preserve">, 10000:1, 1920x1080, D-Sub, RCA, S-Video, HDMI, USB, </w:t>
            </w:r>
            <w:r w:rsidRPr="00C72580">
              <w:rPr>
                <w:sz w:val="22"/>
                <w:szCs w:val="22"/>
              </w:rPr>
              <w:t>ПДУ</w:t>
            </w:r>
            <w:r w:rsidRPr="00C72580">
              <w:rPr>
                <w:sz w:val="22"/>
                <w:szCs w:val="22"/>
                <w:lang w:val="en-US"/>
              </w:rPr>
              <w:t>, 2D/3D)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rPr>
                <w:rFonts w:eastAsia="Times New Roman"/>
                <w:sz w:val="22"/>
                <w:szCs w:val="22"/>
              </w:rPr>
            </w:pPr>
            <w:r w:rsidRPr="00A8680D">
              <w:rPr>
                <w:sz w:val="22"/>
                <w:szCs w:val="22"/>
              </w:rPr>
              <w:t xml:space="preserve">Экран для проектора </w:t>
            </w:r>
            <w:proofErr w:type="spellStart"/>
            <w:r w:rsidRPr="00A8680D">
              <w:rPr>
                <w:sz w:val="22"/>
                <w:szCs w:val="22"/>
              </w:rPr>
              <w:t>Draper-Diplomat</w:t>
            </w:r>
            <w:proofErr w:type="spellEnd"/>
            <w:r w:rsidRPr="00A8680D">
              <w:rPr>
                <w:sz w:val="22"/>
                <w:szCs w:val="22"/>
              </w:rPr>
              <w:t xml:space="preserve"> на треноге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BC2CEA" w:rsidRDefault="009802B3" w:rsidP="009802B3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72580">
              <w:rPr>
                <w:sz w:val="22"/>
                <w:szCs w:val="22"/>
              </w:rPr>
              <w:t>Экран для проектора, на треноге. 212 x 163 см \4: 3 \Пружинный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pStyle w:val="afd"/>
              <w:rPr>
                <w:sz w:val="22"/>
                <w:szCs w:val="22"/>
              </w:rPr>
            </w:pPr>
            <w:r w:rsidRPr="00A8680D">
              <w:rPr>
                <w:sz w:val="22"/>
                <w:szCs w:val="22"/>
              </w:rPr>
              <w:t xml:space="preserve">Монитор 24" </w:t>
            </w:r>
            <w:proofErr w:type="spellStart"/>
            <w:r w:rsidRPr="00A8680D">
              <w:rPr>
                <w:sz w:val="22"/>
                <w:szCs w:val="22"/>
              </w:rPr>
              <w:t>Samsung</w:t>
            </w:r>
            <w:proofErr w:type="spellEnd"/>
            <w:r w:rsidRPr="00A8680D">
              <w:rPr>
                <w:sz w:val="22"/>
                <w:szCs w:val="22"/>
              </w:rPr>
              <w:t xml:space="preserve"> S24D300H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C72580" w:rsidRDefault="009802B3" w:rsidP="009802B3">
            <w:pPr>
              <w:tabs>
                <w:tab w:val="left" w:pos="244"/>
              </w:tabs>
              <w:rPr>
                <w:sz w:val="22"/>
                <w:szCs w:val="22"/>
                <w:lang w:val="en-US"/>
              </w:rPr>
            </w:pPr>
            <w:r w:rsidRPr="00C72580">
              <w:rPr>
                <w:sz w:val="22"/>
                <w:szCs w:val="22"/>
                <w:lang w:val="en-US"/>
              </w:rPr>
              <w:t xml:space="preserve">24" </w:t>
            </w:r>
            <w:r w:rsidRPr="00C72580">
              <w:rPr>
                <w:sz w:val="22"/>
                <w:szCs w:val="22"/>
              </w:rPr>
              <w:t>ЖК</w:t>
            </w:r>
            <w:r w:rsidRPr="00C72580">
              <w:rPr>
                <w:sz w:val="22"/>
                <w:szCs w:val="22"/>
                <w:lang w:val="en-US"/>
              </w:rPr>
              <w:t xml:space="preserve"> </w:t>
            </w:r>
            <w:r w:rsidRPr="00C72580">
              <w:rPr>
                <w:sz w:val="22"/>
                <w:szCs w:val="22"/>
              </w:rPr>
              <w:t>монитор</w:t>
            </w:r>
            <w:r w:rsidRPr="00C72580">
              <w:rPr>
                <w:sz w:val="22"/>
                <w:szCs w:val="22"/>
                <w:lang w:val="en-US"/>
              </w:rPr>
              <w:t xml:space="preserve">  (LCD, Wide, 1920x1080, D-Sub, HDMI)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046E4B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afd"/>
              <w:rPr>
                <w:sz w:val="22"/>
                <w:szCs w:val="22"/>
              </w:rPr>
            </w:pPr>
            <w:r w:rsidRPr="00046E4B">
              <w:rPr>
                <w:sz w:val="22"/>
                <w:szCs w:val="22"/>
              </w:rPr>
              <w:t>Монитор 21,5" BENQ G2255A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9802B3" w:rsidRDefault="009802B3" w:rsidP="009802B3">
            <w:pPr>
              <w:numPr>
                <w:ilvl w:val="0"/>
                <w:numId w:val="18"/>
              </w:numPr>
              <w:shd w:val="clear" w:color="auto" w:fill="FFFFFF"/>
              <w:spacing w:line="372" w:lineRule="atLeast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21,5</w:t>
            </w:r>
            <w:r w:rsidRPr="00C72580">
              <w:rPr>
                <w:sz w:val="22"/>
                <w:szCs w:val="22"/>
                <w:lang w:val="en-US"/>
              </w:rPr>
              <w:t xml:space="preserve">" </w:t>
            </w:r>
            <w:r w:rsidRPr="00C72580">
              <w:rPr>
                <w:sz w:val="22"/>
                <w:szCs w:val="22"/>
              </w:rPr>
              <w:t>ЖК</w:t>
            </w:r>
            <w:r w:rsidRPr="00C72580">
              <w:rPr>
                <w:sz w:val="22"/>
                <w:szCs w:val="22"/>
                <w:lang w:val="en-US"/>
              </w:rPr>
              <w:t xml:space="preserve"> </w:t>
            </w:r>
            <w:r w:rsidRPr="00C72580">
              <w:rPr>
                <w:sz w:val="22"/>
                <w:szCs w:val="22"/>
              </w:rPr>
              <w:t>монитор</w:t>
            </w:r>
            <w:r w:rsidRPr="00C72580">
              <w:rPr>
                <w:sz w:val="22"/>
                <w:szCs w:val="22"/>
                <w:lang w:val="en-US"/>
              </w:rPr>
              <w:t xml:space="preserve">  (L</w:t>
            </w:r>
            <w:r>
              <w:rPr>
                <w:sz w:val="22"/>
                <w:szCs w:val="22"/>
                <w:lang w:val="en-US"/>
              </w:rPr>
              <w:t>CD, Wide, 1920x1080, D-Sub</w:t>
            </w:r>
            <w:r w:rsidRPr="00C7258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7234B" w:rsidRDefault="009802B3" w:rsidP="009802B3">
            <w:pPr>
              <w:pStyle w:val="afd"/>
              <w:rPr>
                <w:b/>
                <w:sz w:val="22"/>
                <w:szCs w:val="22"/>
              </w:rPr>
            </w:pPr>
            <w:r w:rsidRPr="00046E4B">
              <w:rPr>
                <w:sz w:val="22"/>
                <w:szCs w:val="22"/>
              </w:rPr>
              <w:t xml:space="preserve">Ноутбук </w:t>
            </w:r>
            <w:r w:rsidRPr="00046E4B">
              <w:rPr>
                <w:sz w:val="22"/>
                <w:szCs w:val="22"/>
                <w:lang w:val="en-US"/>
              </w:rPr>
              <w:t>ASUS</w:t>
            </w:r>
            <w:r w:rsidRPr="00046E4B">
              <w:rPr>
                <w:sz w:val="22"/>
                <w:szCs w:val="22"/>
              </w:rPr>
              <w:t xml:space="preserve"> </w:t>
            </w:r>
            <w:proofErr w:type="spellStart"/>
            <w:r w:rsidRPr="00046E4B">
              <w:rPr>
                <w:sz w:val="22"/>
                <w:szCs w:val="22"/>
                <w:lang w:val="en-US"/>
              </w:rPr>
              <w:t>VivoBook</w:t>
            </w:r>
            <w:proofErr w:type="spellEnd"/>
            <w:r w:rsidRPr="00046E4B">
              <w:rPr>
                <w:sz w:val="22"/>
                <w:szCs w:val="22"/>
              </w:rPr>
              <w:t xml:space="preserve"> </w:t>
            </w:r>
            <w:r w:rsidRPr="00046E4B">
              <w:rPr>
                <w:sz w:val="22"/>
                <w:szCs w:val="22"/>
                <w:lang w:val="en-US"/>
              </w:rPr>
              <w:t>Max</w:t>
            </w:r>
            <w:r w:rsidRPr="00046E4B">
              <w:rPr>
                <w:sz w:val="22"/>
                <w:szCs w:val="22"/>
              </w:rPr>
              <w:t xml:space="preserve"> </w:t>
            </w:r>
            <w:r w:rsidRPr="00046E4B">
              <w:rPr>
                <w:sz w:val="22"/>
                <w:szCs w:val="22"/>
                <w:lang w:val="en-US"/>
              </w:rPr>
              <w:t>X</w:t>
            </w:r>
            <w:r w:rsidRPr="00046E4B">
              <w:rPr>
                <w:sz w:val="22"/>
                <w:szCs w:val="22"/>
              </w:rPr>
              <w:t>441</w:t>
            </w:r>
            <w:r w:rsidRPr="00046E4B">
              <w:rPr>
                <w:sz w:val="22"/>
                <w:szCs w:val="22"/>
                <w:lang w:val="en-US"/>
              </w:rPr>
              <w:t>UA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C72580" w:rsidRDefault="009802B3" w:rsidP="009802B3">
            <w:pPr>
              <w:tabs>
                <w:tab w:val="left" w:pos="244"/>
              </w:tabs>
              <w:rPr>
                <w:sz w:val="22"/>
                <w:szCs w:val="22"/>
                <w:lang w:val="en-US"/>
              </w:rPr>
            </w:pPr>
            <w:r w:rsidRPr="00C72580">
              <w:rPr>
                <w:sz w:val="22"/>
                <w:szCs w:val="22"/>
                <w:lang w:val="en-US"/>
              </w:rPr>
              <w:t>Bluetooth  i3 6006U/4/1Tb/DVD-RW/</w:t>
            </w:r>
            <w:proofErr w:type="spellStart"/>
            <w:r w:rsidRPr="00C7258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72580">
              <w:rPr>
                <w:sz w:val="22"/>
                <w:szCs w:val="22"/>
                <w:lang w:val="en-US"/>
              </w:rPr>
              <w:t xml:space="preserve">/BT/Win10/14"/1.8 </w:t>
            </w:r>
            <w:r w:rsidRPr="00C72580">
              <w:rPr>
                <w:sz w:val="22"/>
                <w:szCs w:val="22"/>
              </w:rPr>
              <w:t>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6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afd"/>
              <w:rPr>
                <w:sz w:val="22"/>
                <w:szCs w:val="22"/>
              </w:rPr>
            </w:pPr>
            <w:r w:rsidRPr="00384428">
              <w:rPr>
                <w:sz w:val="22"/>
                <w:szCs w:val="22"/>
              </w:rPr>
              <w:t xml:space="preserve">Ноутбук </w:t>
            </w:r>
            <w:proofErr w:type="spellStart"/>
            <w:r w:rsidRPr="00384428">
              <w:rPr>
                <w:sz w:val="22"/>
                <w:szCs w:val="22"/>
              </w:rPr>
              <w:t>Lenovo</w:t>
            </w:r>
            <w:proofErr w:type="spellEnd"/>
            <w:r w:rsidRPr="00384428">
              <w:rPr>
                <w:sz w:val="22"/>
                <w:szCs w:val="22"/>
              </w:rPr>
              <w:t xml:space="preserve"> </w:t>
            </w:r>
            <w:proofErr w:type="spellStart"/>
            <w:r w:rsidRPr="00384428">
              <w:rPr>
                <w:sz w:val="22"/>
                <w:szCs w:val="22"/>
              </w:rPr>
              <w:t>IdeaPad</w:t>
            </w:r>
            <w:proofErr w:type="spellEnd"/>
            <w:r w:rsidRPr="00384428">
              <w:rPr>
                <w:sz w:val="22"/>
                <w:szCs w:val="22"/>
              </w:rPr>
              <w:t xml:space="preserve"> 310-15ISK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BC2CEA" w:rsidRDefault="009802B3" w:rsidP="009802B3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0F0E85">
              <w:rPr>
                <w:sz w:val="22"/>
                <w:szCs w:val="22"/>
              </w:rPr>
              <w:t xml:space="preserve">Тип процессора </w:t>
            </w:r>
            <w:proofErr w:type="spellStart"/>
            <w:r w:rsidRPr="000F0E85">
              <w:rPr>
                <w:sz w:val="22"/>
                <w:szCs w:val="22"/>
              </w:rPr>
              <w:t>Core</w:t>
            </w:r>
            <w:proofErr w:type="spellEnd"/>
            <w:r w:rsidRPr="000F0E85">
              <w:rPr>
                <w:sz w:val="22"/>
                <w:szCs w:val="22"/>
              </w:rPr>
              <w:t xml:space="preserve"> i3-6100U 2.3ГГц, Оперативная память (RAM) 4 ГБ, Графический контроллер </w:t>
            </w:r>
            <w:proofErr w:type="spellStart"/>
            <w:r w:rsidRPr="000F0E85">
              <w:rPr>
                <w:sz w:val="22"/>
                <w:szCs w:val="22"/>
              </w:rPr>
              <w:t>GeForce</w:t>
            </w:r>
            <w:proofErr w:type="spellEnd"/>
            <w:r w:rsidRPr="000F0E85">
              <w:rPr>
                <w:sz w:val="22"/>
                <w:szCs w:val="22"/>
              </w:rPr>
              <w:t xml:space="preserve"> 920MX 2ГБ.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7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afd"/>
              <w:rPr>
                <w:sz w:val="22"/>
                <w:szCs w:val="22"/>
              </w:rPr>
            </w:pPr>
            <w:r w:rsidRPr="00384428">
              <w:rPr>
                <w:sz w:val="22"/>
                <w:szCs w:val="22"/>
              </w:rPr>
              <w:t xml:space="preserve">МФУ </w:t>
            </w:r>
            <w:proofErr w:type="spellStart"/>
            <w:r w:rsidRPr="00384428">
              <w:rPr>
                <w:sz w:val="22"/>
                <w:szCs w:val="22"/>
              </w:rPr>
              <w:t>Kyocera</w:t>
            </w:r>
            <w:proofErr w:type="spellEnd"/>
            <w:r w:rsidRPr="00384428">
              <w:rPr>
                <w:sz w:val="22"/>
                <w:szCs w:val="22"/>
              </w:rPr>
              <w:t xml:space="preserve"> ECOSYS M2035dn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BC2CEA" w:rsidRDefault="009802B3" w:rsidP="009802B3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B4DE6">
              <w:rPr>
                <w:sz w:val="22"/>
                <w:szCs w:val="22"/>
              </w:rPr>
              <w:t xml:space="preserve">ип МФУ лазерное, Модели оригинальных картриджей </w:t>
            </w:r>
            <w:proofErr w:type="spellStart"/>
            <w:r w:rsidRPr="00DB4DE6">
              <w:rPr>
                <w:sz w:val="22"/>
                <w:szCs w:val="22"/>
              </w:rPr>
              <w:t>Kyocera</w:t>
            </w:r>
            <w:proofErr w:type="spellEnd"/>
            <w:r w:rsidRPr="00DB4DE6">
              <w:rPr>
                <w:sz w:val="22"/>
                <w:szCs w:val="22"/>
              </w:rPr>
              <w:t xml:space="preserve"> TK-1140, Максимальное разрешение чёрно-белой печати 1800x600 </w:t>
            </w:r>
            <w:proofErr w:type="spellStart"/>
            <w:r w:rsidRPr="00DB4DE6">
              <w:rPr>
                <w:sz w:val="22"/>
                <w:szCs w:val="22"/>
              </w:rPr>
              <w:t>dpi</w:t>
            </w:r>
            <w:proofErr w:type="spellEnd"/>
            <w:r w:rsidRPr="00DB4DE6">
              <w:rPr>
                <w:sz w:val="22"/>
                <w:szCs w:val="22"/>
              </w:rPr>
              <w:t xml:space="preserve">, Скорость чёрно-белой печати 35 </w:t>
            </w:r>
            <w:proofErr w:type="spellStart"/>
            <w:r w:rsidRPr="00DB4DE6">
              <w:rPr>
                <w:sz w:val="22"/>
                <w:szCs w:val="22"/>
              </w:rPr>
              <w:t>стр</w:t>
            </w:r>
            <w:proofErr w:type="spellEnd"/>
            <w:r w:rsidRPr="00DB4DE6">
              <w:rPr>
                <w:sz w:val="22"/>
                <w:szCs w:val="22"/>
              </w:rPr>
              <w:t xml:space="preserve">/мин (А4), Оптическое разрешение сканера 600x600 </w:t>
            </w:r>
            <w:proofErr w:type="spellStart"/>
            <w:r w:rsidRPr="00DB4DE6">
              <w:rPr>
                <w:sz w:val="22"/>
                <w:szCs w:val="22"/>
              </w:rPr>
              <w:t>dpi</w:t>
            </w:r>
            <w:proofErr w:type="spellEnd"/>
            <w:r w:rsidRPr="00DB4DE6"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F033F7">
              <w:rPr>
                <w:sz w:val="22"/>
                <w:szCs w:val="22"/>
              </w:rPr>
              <w:t xml:space="preserve">A4, 512Mb, LCD, USB2.0, сетевой, DADF, </w:t>
            </w:r>
            <w:proofErr w:type="spellStart"/>
            <w:r w:rsidRPr="00F033F7">
              <w:rPr>
                <w:sz w:val="22"/>
                <w:szCs w:val="22"/>
              </w:rPr>
              <w:t>двуст.печать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</w:tbl>
    <w:p w:rsidR="00B46230" w:rsidRPr="00912575" w:rsidRDefault="00B46230" w:rsidP="0042738A">
      <w:pPr>
        <w:rPr>
          <w:sz w:val="24"/>
          <w:szCs w:val="24"/>
        </w:rPr>
      </w:pPr>
    </w:p>
    <w:sectPr w:rsidR="00B46230" w:rsidRPr="00912575" w:rsidSect="00BC2CEA">
      <w:pgSz w:w="11906" w:h="16838"/>
      <w:pgMar w:top="992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D2A" w:rsidRDefault="00FE5D2A" w:rsidP="00AF00E0">
      <w:r>
        <w:separator/>
      </w:r>
    </w:p>
  </w:endnote>
  <w:endnote w:type="continuationSeparator" w:id="0">
    <w:p w:rsidR="00FE5D2A" w:rsidRDefault="00FE5D2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D2A" w:rsidRDefault="00FE5D2A" w:rsidP="00AF00E0">
      <w:r>
        <w:separator/>
      </w:r>
    </w:p>
  </w:footnote>
  <w:footnote w:type="continuationSeparator" w:id="0">
    <w:p w:rsidR="00FE5D2A" w:rsidRDefault="00FE5D2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680539" w:rsidRDefault="0068053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2E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76C5"/>
    <w:rsid w:val="00011231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440A"/>
    <w:rsid w:val="000B496F"/>
    <w:rsid w:val="000C5C51"/>
    <w:rsid w:val="000C7EDE"/>
    <w:rsid w:val="000D3506"/>
    <w:rsid w:val="000E1720"/>
    <w:rsid w:val="000E2407"/>
    <w:rsid w:val="000E2C39"/>
    <w:rsid w:val="000E3940"/>
    <w:rsid w:val="000E7A04"/>
    <w:rsid w:val="00102CC6"/>
    <w:rsid w:val="00104D20"/>
    <w:rsid w:val="001072B0"/>
    <w:rsid w:val="001167C4"/>
    <w:rsid w:val="00117567"/>
    <w:rsid w:val="001254EB"/>
    <w:rsid w:val="001369B5"/>
    <w:rsid w:val="00140FE1"/>
    <w:rsid w:val="001428BD"/>
    <w:rsid w:val="00143D4F"/>
    <w:rsid w:val="001478C1"/>
    <w:rsid w:val="00153830"/>
    <w:rsid w:val="0016115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D1DF8"/>
    <w:rsid w:val="001D65D8"/>
    <w:rsid w:val="001E1804"/>
    <w:rsid w:val="001E2221"/>
    <w:rsid w:val="001E4ACB"/>
    <w:rsid w:val="001E53AA"/>
    <w:rsid w:val="001E6CEC"/>
    <w:rsid w:val="001E75EB"/>
    <w:rsid w:val="001F3EB5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6AA1"/>
    <w:rsid w:val="00257756"/>
    <w:rsid w:val="00260602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A4DF3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43E3"/>
    <w:rsid w:val="003F4FF9"/>
    <w:rsid w:val="003F6490"/>
    <w:rsid w:val="003F7EFA"/>
    <w:rsid w:val="004002E0"/>
    <w:rsid w:val="00401E6E"/>
    <w:rsid w:val="0040699C"/>
    <w:rsid w:val="00414E2E"/>
    <w:rsid w:val="004168A9"/>
    <w:rsid w:val="00416EB2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3216"/>
    <w:rsid w:val="00576DAE"/>
    <w:rsid w:val="005772B4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2C7"/>
    <w:rsid w:val="0065652D"/>
    <w:rsid w:val="006662A6"/>
    <w:rsid w:val="00666300"/>
    <w:rsid w:val="00670FC1"/>
    <w:rsid w:val="00671D21"/>
    <w:rsid w:val="00676B81"/>
    <w:rsid w:val="00680239"/>
    <w:rsid w:val="00680539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CA7"/>
    <w:rsid w:val="007903A9"/>
    <w:rsid w:val="00791AE7"/>
    <w:rsid w:val="007A22EA"/>
    <w:rsid w:val="007A2D75"/>
    <w:rsid w:val="007A5770"/>
    <w:rsid w:val="007B3118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35FD"/>
    <w:rsid w:val="007F7103"/>
    <w:rsid w:val="008031E5"/>
    <w:rsid w:val="0080332F"/>
    <w:rsid w:val="00806688"/>
    <w:rsid w:val="00807B09"/>
    <w:rsid w:val="00810661"/>
    <w:rsid w:val="00810C83"/>
    <w:rsid w:val="00824600"/>
    <w:rsid w:val="00831953"/>
    <w:rsid w:val="00836723"/>
    <w:rsid w:val="00836A44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B38B6"/>
    <w:rsid w:val="008C535A"/>
    <w:rsid w:val="008D0544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232A"/>
    <w:rsid w:val="00954EDB"/>
    <w:rsid w:val="009616DD"/>
    <w:rsid w:val="00962897"/>
    <w:rsid w:val="00963D26"/>
    <w:rsid w:val="00964984"/>
    <w:rsid w:val="00966D75"/>
    <w:rsid w:val="009802B3"/>
    <w:rsid w:val="00983962"/>
    <w:rsid w:val="009844C1"/>
    <w:rsid w:val="00984D50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C13"/>
    <w:rsid w:val="009F149D"/>
    <w:rsid w:val="009F5E55"/>
    <w:rsid w:val="00A01EC3"/>
    <w:rsid w:val="00A02C1F"/>
    <w:rsid w:val="00A106B3"/>
    <w:rsid w:val="00A12752"/>
    <w:rsid w:val="00A17E1C"/>
    <w:rsid w:val="00A17F8C"/>
    <w:rsid w:val="00A22784"/>
    <w:rsid w:val="00A2313F"/>
    <w:rsid w:val="00A372AB"/>
    <w:rsid w:val="00A413E8"/>
    <w:rsid w:val="00A506EF"/>
    <w:rsid w:val="00A50832"/>
    <w:rsid w:val="00A61733"/>
    <w:rsid w:val="00A618DB"/>
    <w:rsid w:val="00A62E32"/>
    <w:rsid w:val="00A742E5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F0E4D"/>
    <w:rsid w:val="00D04C62"/>
    <w:rsid w:val="00D05553"/>
    <w:rsid w:val="00D07A5C"/>
    <w:rsid w:val="00D11498"/>
    <w:rsid w:val="00D143BC"/>
    <w:rsid w:val="00D1593B"/>
    <w:rsid w:val="00D16910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7FC9"/>
    <w:rsid w:val="00E41F37"/>
    <w:rsid w:val="00E46DD0"/>
    <w:rsid w:val="00E478CF"/>
    <w:rsid w:val="00E51D8D"/>
    <w:rsid w:val="00E5594A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64E6"/>
    <w:rsid w:val="00F276AA"/>
    <w:rsid w:val="00F34639"/>
    <w:rsid w:val="00F351D1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5D2A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64DA3-A684-41AA-8674-9F1D48E7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6</cp:revision>
  <cp:lastPrinted>2016-05-04T12:16:00Z</cp:lastPrinted>
  <dcterms:created xsi:type="dcterms:W3CDTF">2019-05-29T07:02:00Z</dcterms:created>
  <dcterms:modified xsi:type="dcterms:W3CDTF">2019-05-30T07:25:00Z</dcterms:modified>
</cp:coreProperties>
</file>