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53A" w:rsidRPr="00697DC5" w:rsidRDefault="0026453A" w:rsidP="009C038A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756EE8" w:rsidRPr="00756EE8" w:rsidRDefault="00756EE8" w:rsidP="009C038A">
      <w:pPr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Первый заместитель директора -</w:t>
      </w:r>
    </w:p>
    <w:p w:rsidR="00756EE8" w:rsidRPr="00756EE8" w:rsidRDefault="00756EE8" w:rsidP="009C038A">
      <w:pPr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главный инженер</w:t>
      </w:r>
    </w:p>
    <w:p w:rsidR="00756EE8" w:rsidRDefault="007A47A7" w:rsidP="009C038A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ф</w:t>
      </w:r>
      <w:r w:rsidR="00756EE8" w:rsidRPr="00756EE8">
        <w:rPr>
          <w:sz w:val="28"/>
          <w:szCs w:val="28"/>
        </w:rPr>
        <w:t xml:space="preserve">илиала </w:t>
      </w:r>
      <w:r w:rsidR="00EB7AC9">
        <w:rPr>
          <w:sz w:val="28"/>
          <w:szCs w:val="28"/>
        </w:rPr>
        <w:t>ПАО</w:t>
      </w:r>
      <w:r w:rsidR="00756EE8" w:rsidRPr="00756EE8">
        <w:rPr>
          <w:sz w:val="28"/>
          <w:szCs w:val="28"/>
        </w:rPr>
        <w:t xml:space="preserve"> «МРСК Центра» -</w:t>
      </w:r>
    </w:p>
    <w:p w:rsidR="00756EE8" w:rsidRPr="00756EE8" w:rsidRDefault="00756EE8" w:rsidP="009C038A">
      <w:pPr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«Орелэнерго»</w:t>
      </w:r>
    </w:p>
    <w:p w:rsidR="0026453A" w:rsidRPr="00697DC5" w:rsidRDefault="0026453A" w:rsidP="009C038A">
      <w:pPr>
        <w:tabs>
          <w:tab w:val="right" w:pos="10207"/>
        </w:tabs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 /</w:t>
      </w:r>
      <w:r w:rsidR="00756EE8" w:rsidRPr="00756EE8">
        <w:t xml:space="preserve"> </w:t>
      </w:r>
      <w:r w:rsidR="00756EE8" w:rsidRPr="00756EE8">
        <w:rPr>
          <w:sz w:val="28"/>
          <w:szCs w:val="28"/>
        </w:rPr>
        <w:t>Колубанов И.В.</w:t>
      </w:r>
      <w:r w:rsidRPr="00697DC5">
        <w:rPr>
          <w:sz w:val="26"/>
          <w:szCs w:val="26"/>
        </w:rPr>
        <w:t xml:space="preserve"> </w:t>
      </w:r>
    </w:p>
    <w:p w:rsidR="001F5706" w:rsidRPr="005E0C06" w:rsidRDefault="00F46E63" w:rsidP="009C038A">
      <w:pPr>
        <w:tabs>
          <w:tab w:val="right" w:pos="10207"/>
        </w:tabs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CE2437" w:rsidRPr="005C1A7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="00CE2437" w:rsidRPr="005C1A7B">
        <w:rPr>
          <w:sz w:val="28"/>
          <w:szCs w:val="28"/>
        </w:rPr>
        <w:t xml:space="preserve"> </w:t>
      </w:r>
      <w:r w:rsidR="00C9756C">
        <w:rPr>
          <w:sz w:val="28"/>
          <w:szCs w:val="28"/>
        </w:rPr>
        <w:t xml:space="preserve">                            </w:t>
      </w:r>
      <w:r w:rsidRPr="005E0C06">
        <w:rPr>
          <w:sz w:val="28"/>
          <w:szCs w:val="28"/>
        </w:rPr>
        <w:t>«</w:t>
      </w:r>
      <w:r w:rsidR="00CE2437" w:rsidRPr="005C1A7B">
        <w:rPr>
          <w:sz w:val="28"/>
          <w:szCs w:val="28"/>
        </w:rPr>
        <w:t>____</w:t>
      </w:r>
      <w:r w:rsidRPr="005E0C06">
        <w:rPr>
          <w:sz w:val="28"/>
          <w:szCs w:val="28"/>
        </w:rPr>
        <w:t>»</w:t>
      </w:r>
      <w:r w:rsidR="0026453A" w:rsidRPr="005E0C06">
        <w:rPr>
          <w:sz w:val="28"/>
          <w:szCs w:val="28"/>
        </w:rPr>
        <w:t xml:space="preserve"> </w:t>
      </w:r>
      <w:r w:rsidR="00CE2437" w:rsidRPr="005C1A7B">
        <w:rPr>
          <w:sz w:val="28"/>
          <w:szCs w:val="28"/>
        </w:rPr>
        <w:t>__________</w:t>
      </w:r>
      <w:r w:rsidR="0026453A" w:rsidRPr="005E0C06">
        <w:rPr>
          <w:sz w:val="28"/>
          <w:szCs w:val="28"/>
        </w:rPr>
        <w:t xml:space="preserve"> 20</w:t>
      </w:r>
      <w:r w:rsidR="00CE2437" w:rsidRPr="005C1A7B">
        <w:rPr>
          <w:sz w:val="28"/>
          <w:szCs w:val="28"/>
        </w:rPr>
        <w:t>___</w:t>
      </w:r>
      <w:r w:rsidR="005E0C06" w:rsidRPr="005E0C06">
        <w:rPr>
          <w:sz w:val="28"/>
          <w:szCs w:val="28"/>
        </w:rPr>
        <w:t xml:space="preserve"> г</w:t>
      </w:r>
    </w:p>
    <w:p w:rsidR="0026453A" w:rsidRPr="00697DC5" w:rsidRDefault="0026453A" w:rsidP="009C038A"/>
    <w:p w:rsidR="0026453A" w:rsidRDefault="0026453A" w:rsidP="009C038A"/>
    <w:p w:rsidR="00951C89" w:rsidRPr="00697DC5" w:rsidRDefault="00951C89" w:rsidP="009C038A"/>
    <w:p w:rsidR="004F6968" w:rsidRPr="00697DC5" w:rsidRDefault="008D35FD" w:rsidP="009C038A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46732" w:rsidRDefault="004F6968" w:rsidP="009C038A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56EE8" w:rsidRPr="00756EE8">
        <w:rPr>
          <w:b/>
          <w:sz w:val="26"/>
          <w:szCs w:val="26"/>
        </w:rPr>
        <w:t>п</w:t>
      </w:r>
      <w:r w:rsidR="00756EE8">
        <w:rPr>
          <w:b/>
          <w:sz w:val="26"/>
          <w:szCs w:val="26"/>
        </w:rPr>
        <w:t>роволоки</w:t>
      </w:r>
      <w:r w:rsidR="00756EE8" w:rsidRPr="00756EE8">
        <w:rPr>
          <w:b/>
          <w:sz w:val="26"/>
          <w:szCs w:val="26"/>
        </w:rPr>
        <w:t xml:space="preserve"> пломбировочн</w:t>
      </w:r>
      <w:r w:rsidR="00756EE8">
        <w:rPr>
          <w:b/>
          <w:sz w:val="26"/>
          <w:szCs w:val="26"/>
        </w:rPr>
        <w:t>ой</w:t>
      </w:r>
      <w:r w:rsidR="00756EE8" w:rsidRPr="00756EE8">
        <w:rPr>
          <w:b/>
          <w:sz w:val="26"/>
          <w:szCs w:val="26"/>
        </w:rPr>
        <w:t xml:space="preserve"> спирал</w:t>
      </w:r>
      <w:r w:rsidR="00756EE8">
        <w:rPr>
          <w:b/>
          <w:sz w:val="26"/>
          <w:szCs w:val="26"/>
        </w:rPr>
        <w:t>и</w:t>
      </w:r>
      <w:r w:rsidR="00646732">
        <w:rPr>
          <w:b/>
          <w:sz w:val="26"/>
          <w:szCs w:val="26"/>
        </w:rPr>
        <w:t>. Лот №</w:t>
      </w:r>
      <w:r w:rsidR="000774C9">
        <w:rPr>
          <w:b/>
          <w:sz w:val="26"/>
          <w:szCs w:val="26"/>
        </w:rPr>
        <w:t xml:space="preserve"> </w:t>
      </w:r>
      <w:r w:rsidR="000774C9" w:rsidRPr="000774C9">
        <w:rPr>
          <w:b/>
          <w:sz w:val="26"/>
          <w:szCs w:val="26"/>
          <w:u w:val="single"/>
        </w:rPr>
        <w:t>203В</w:t>
      </w:r>
      <w:r w:rsidR="000774C9">
        <w:rPr>
          <w:b/>
          <w:sz w:val="26"/>
          <w:szCs w:val="26"/>
          <w:u w:val="single"/>
        </w:rPr>
        <w:t>.</w:t>
      </w:r>
    </w:p>
    <w:p w:rsidR="00612811" w:rsidRPr="00646732" w:rsidRDefault="00612811" w:rsidP="009C038A">
      <w:pPr>
        <w:ind w:firstLine="0"/>
        <w:jc w:val="center"/>
        <w:rPr>
          <w:sz w:val="24"/>
          <w:szCs w:val="24"/>
        </w:rPr>
      </w:pPr>
    </w:p>
    <w:p w:rsidR="005C1A7B" w:rsidRPr="005C1A7B" w:rsidRDefault="005C1A7B" w:rsidP="009C038A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5C1A7B">
        <w:rPr>
          <w:b/>
          <w:bCs/>
          <w:sz w:val="26"/>
          <w:szCs w:val="26"/>
        </w:rPr>
        <w:t>Общая часть.</w:t>
      </w:r>
    </w:p>
    <w:p w:rsidR="005C1A7B" w:rsidRPr="005C1A7B" w:rsidRDefault="00C12E68" w:rsidP="009C038A">
      <w:pPr>
        <w:pStyle w:val="ad"/>
        <w:tabs>
          <w:tab w:val="left" w:pos="709"/>
        </w:tabs>
        <w:ind w:left="0"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Филиал </w:t>
      </w:r>
      <w:r>
        <w:rPr>
          <w:sz w:val="24"/>
          <w:szCs w:val="24"/>
        </w:rPr>
        <w:t>П</w:t>
      </w:r>
      <w:r w:rsidRPr="006E34F7">
        <w:rPr>
          <w:sz w:val="24"/>
          <w:szCs w:val="24"/>
        </w:rPr>
        <w:t>АО «МРСК Центра» - «</w:t>
      </w:r>
      <w:r>
        <w:rPr>
          <w:sz w:val="24"/>
          <w:szCs w:val="24"/>
        </w:rPr>
        <w:t>Орелэнерго</w:t>
      </w:r>
      <w:r w:rsidRPr="006E34F7">
        <w:rPr>
          <w:sz w:val="24"/>
          <w:szCs w:val="24"/>
        </w:rPr>
        <w:t xml:space="preserve">» </w:t>
      </w:r>
      <w:r w:rsidR="005C1A7B" w:rsidRPr="005C1A7B">
        <w:rPr>
          <w:sz w:val="24"/>
          <w:szCs w:val="24"/>
        </w:rPr>
        <w:t>производит закупку проволоки пломбировочной спирали</w:t>
      </w:r>
      <w:r w:rsidR="005C1A7B" w:rsidRPr="00697DC5">
        <w:rPr>
          <w:b/>
          <w:sz w:val="26"/>
          <w:szCs w:val="26"/>
        </w:rPr>
        <w:t xml:space="preserve"> </w:t>
      </w:r>
      <w:r w:rsidR="005C1A7B" w:rsidRPr="00AE7DEC">
        <w:rPr>
          <w:sz w:val="24"/>
          <w:szCs w:val="24"/>
        </w:rPr>
        <w:t>с целью исключения несанкционированного доступа к средствам измерения и их метрологическим характеристикам.</w:t>
      </w:r>
      <w:r w:rsidRPr="00C12E68">
        <w:rPr>
          <w:sz w:val="24"/>
          <w:szCs w:val="24"/>
        </w:rPr>
        <w:t xml:space="preserve"> </w:t>
      </w:r>
      <w:r w:rsidRPr="00517EBD">
        <w:rPr>
          <w:sz w:val="24"/>
          <w:szCs w:val="24"/>
        </w:rPr>
        <w:t xml:space="preserve">Закупка производится в рамках годовой комплексной программы закупок филиала ПАО «МРСК Центра» - «Орелэнерго» на </w:t>
      </w:r>
      <w:r w:rsidR="00CD05F5">
        <w:rPr>
          <w:sz w:val="24"/>
          <w:szCs w:val="24"/>
        </w:rPr>
        <w:t>2020</w:t>
      </w:r>
      <w:r w:rsidRPr="00517EBD">
        <w:rPr>
          <w:sz w:val="24"/>
          <w:szCs w:val="24"/>
        </w:rPr>
        <w:t xml:space="preserve"> год.</w:t>
      </w:r>
    </w:p>
    <w:p w:rsidR="005C1A7B" w:rsidRPr="0030083A" w:rsidRDefault="005C1A7B" w:rsidP="009C038A">
      <w:pPr>
        <w:ind w:firstLine="708"/>
      </w:pPr>
    </w:p>
    <w:p w:rsidR="005C1A7B" w:rsidRPr="005C1A7B" w:rsidRDefault="005C1A7B" w:rsidP="009C038A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5C1A7B">
        <w:rPr>
          <w:b/>
          <w:bCs/>
          <w:sz w:val="26"/>
          <w:szCs w:val="26"/>
        </w:rPr>
        <w:t>Предмет конкурса.</w:t>
      </w:r>
    </w:p>
    <w:p w:rsidR="005C1A7B" w:rsidRPr="000774C9" w:rsidRDefault="005C1A7B" w:rsidP="009C038A">
      <w:pPr>
        <w:pStyle w:val="ad"/>
        <w:tabs>
          <w:tab w:val="left" w:pos="709"/>
        </w:tabs>
        <w:ind w:left="0" w:firstLine="709"/>
        <w:rPr>
          <w:sz w:val="24"/>
          <w:szCs w:val="24"/>
        </w:rPr>
      </w:pPr>
      <w:r w:rsidRPr="005C1A7B">
        <w:rPr>
          <w:sz w:val="24"/>
          <w:szCs w:val="24"/>
        </w:rPr>
        <w:t>Поставщик обеспечивает поставку материалов в объемах и сроках установленных данным ТЗ на склад получателя – филиала ПАО «МРСК Центра» – «Орелэнерго»:</w:t>
      </w:r>
    </w:p>
    <w:p w:rsidR="005C1A7B" w:rsidRPr="000774C9" w:rsidRDefault="005C1A7B" w:rsidP="009C038A">
      <w:pPr>
        <w:pStyle w:val="ad"/>
        <w:tabs>
          <w:tab w:val="left" w:pos="709"/>
        </w:tabs>
        <w:ind w:left="0" w:firstLine="709"/>
        <w:rPr>
          <w:sz w:val="24"/>
          <w:szCs w:val="24"/>
        </w:rPr>
      </w:pPr>
    </w:p>
    <w:tbl>
      <w:tblPr>
        <w:tblW w:w="10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1838"/>
        <w:gridCol w:w="2563"/>
        <w:gridCol w:w="1984"/>
        <w:gridCol w:w="2433"/>
      </w:tblGrid>
      <w:tr w:rsidR="005C1A7B" w:rsidRPr="005C1A7B" w:rsidTr="005C1A7B">
        <w:trPr>
          <w:trHeight w:val="423"/>
        </w:trPr>
        <w:tc>
          <w:tcPr>
            <w:tcW w:w="1695" w:type="dxa"/>
            <w:vAlign w:val="center"/>
          </w:tcPr>
          <w:p w:rsidR="005C1A7B" w:rsidRPr="005C1A7B" w:rsidRDefault="005C1A7B" w:rsidP="009C038A">
            <w:pPr>
              <w:pStyle w:val="ad"/>
              <w:tabs>
                <w:tab w:val="left" w:pos="709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5C1A7B">
              <w:rPr>
                <w:sz w:val="24"/>
                <w:szCs w:val="24"/>
              </w:rPr>
              <w:t>Филиал</w:t>
            </w:r>
          </w:p>
        </w:tc>
        <w:tc>
          <w:tcPr>
            <w:tcW w:w="1838" w:type="dxa"/>
            <w:vAlign w:val="center"/>
          </w:tcPr>
          <w:p w:rsidR="005C1A7B" w:rsidRPr="005C1A7B" w:rsidRDefault="005C1A7B" w:rsidP="009C038A">
            <w:pPr>
              <w:pStyle w:val="ad"/>
              <w:tabs>
                <w:tab w:val="left" w:pos="709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5C1A7B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563" w:type="dxa"/>
            <w:vAlign w:val="center"/>
          </w:tcPr>
          <w:p w:rsidR="005C1A7B" w:rsidRPr="005C1A7B" w:rsidRDefault="005C1A7B" w:rsidP="009C038A">
            <w:pPr>
              <w:tabs>
                <w:tab w:val="left" w:pos="709"/>
              </w:tabs>
              <w:ind w:firstLine="0"/>
              <w:jc w:val="center"/>
              <w:rPr>
                <w:sz w:val="24"/>
                <w:szCs w:val="24"/>
              </w:rPr>
            </w:pPr>
            <w:r w:rsidRPr="005C1A7B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84" w:type="dxa"/>
            <w:vAlign w:val="center"/>
          </w:tcPr>
          <w:p w:rsidR="005C1A7B" w:rsidRPr="005C1A7B" w:rsidRDefault="005C1A7B" w:rsidP="009C038A">
            <w:pPr>
              <w:pStyle w:val="ad"/>
              <w:tabs>
                <w:tab w:val="left" w:pos="709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5C1A7B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433" w:type="dxa"/>
            <w:vAlign w:val="center"/>
          </w:tcPr>
          <w:p w:rsidR="005C1A7B" w:rsidRPr="00592704" w:rsidRDefault="005C1A7B" w:rsidP="00592704">
            <w:pPr>
              <w:pStyle w:val="ad"/>
              <w:tabs>
                <w:tab w:val="left" w:pos="709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5C1A7B">
              <w:rPr>
                <w:sz w:val="24"/>
                <w:szCs w:val="24"/>
              </w:rPr>
              <w:t>Общее количество</w:t>
            </w:r>
            <w:r>
              <w:rPr>
                <w:sz w:val="24"/>
                <w:szCs w:val="24"/>
              </w:rPr>
              <w:t xml:space="preserve">, </w:t>
            </w:r>
            <w:r w:rsidR="00592704">
              <w:rPr>
                <w:sz w:val="24"/>
                <w:szCs w:val="24"/>
              </w:rPr>
              <w:t>шт.</w:t>
            </w:r>
          </w:p>
        </w:tc>
      </w:tr>
      <w:tr w:rsidR="005C1A7B" w:rsidRPr="005C1A7B" w:rsidTr="005C1A7B">
        <w:tc>
          <w:tcPr>
            <w:tcW w:w="1695" w:type="dxa"/>
            <w:vAlign w:val="center"/>
          </w:tcPr>
          <w:p w:rsidR="005C1A7B" w:rsidRPr="005C1A7B" w:rsidRDefault="005C1A7B" w:rsidP="009C038A">
            <w:pPr>
              <w:pStyle w:val="ad"/>
              <w:tabs>
                <w:tab w:val="left" w:pos="709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5C1A7B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38" w:type="dxa"/>
            <w:vAlign w:val="center"/>
          </w:tcPr>
          <w:p w:rsidR="005C1A7B" w:rsidRPr="007A47A7" w:rsidRDefault="007A47A7" w:rsidP="009C038A">
            <w:pPr>
              <w:pStyle w:val="ad"/>
              <w:tabs>
                <w:tab w:val="left" w:pos="709"/>
              </w:tabs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</w:t>
            </w:r>
          </w:p>
        </w:tc>
        <w:tc>
          <w:tcPr>
            <w:tcW w:w="2563" w:type="dxa"/>
            <w:vAlign w:val="center"/>
          </w:tcPr>
          <w:p w:rsidR="005C1A7B" w:rsidRPr="005C1A7B" w:rsidRDefault="005C1A7B" w:rsidP="009C038A">
            <w:pPr>
              <w:pStyle w:val="ad"/>
              <w:tabs>
                <w:tab w:val="left" w:pos="709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5C1A7B">
              <w:rPr>
                <w:sz w:val="24"/>
                <w:szCs w:val="24"/>
              </w:rPr>
              <w:t>г. Орел, ул. Высоковольтная 9 Центральный склад филиала ПАО «МРСК Центра» − «Орелэнерго»</w:t>
            </w:r>
          </w:p>
        </w:tc>
        <w:tc>
          <w:tcPr>
            <w:tcW w:w="1984" w:type="dxa"/>
            <w:vAlign w:val="center"/>
          </w:tcPr>
          <w:p w:rsidR="005C1A7B" w:rsidRPr="005C1A7B" w:rsidRDefault="002D352A" w:rsidP="009C038A">
            <w:pPr>
              <w:pStyle w:val="ad"/>
              <w:tabs>
                <w:tab w:val="left" w:pos="709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2D352A">
              <w:rPr>
                <w:sz w:val="24"/>
                <w:szCs w:val="24"/>
              </w:rPr>
              <w:t>В течение 10 календарных дней с момента подачи заявки от филиала, но не позднее 31.12.2020</w:t>
            </w:r>
          </w:p>
        </w:tc>
        <w:tc>
          <w:tcPr>
            <w:tcW w:w="2433" w:type="dxa"/>
            <w:vAlign w:val="center"/>
          </w:tcPr>
          <w:p w:rsidR="005C1A7B" w:rsidRPr="005C1A7B" w:rsidRDefault="00CD05F5" w:rsidP="00592704">
            <w:pPr>
              <w:tabs>
                <w:tab w:val="left" w:pos="709"/>
              </w:tabs>
              <w:ind w:firstLine="0"/>
              <w:jc w:val="center"/>
              <w:rPr>
                <w:sz w:val="24"/>
                <w:szCs w:val="24"/>
              </w:rPr>
            </w:pPr>
            <w:r w:rsidRPr="004C7CE3">
              <w:rPr>
                <w:sz w:val="24"/>
                <w:szCs w:val="24"/>
                <w:lang w:val="en-US"/>
              </w:rPr>
              <w:t>4</w:t>
            </w:r>
            <w:r w:rsidR="007A47A7" w:rsidRPr="004C7CE3">
              <w:rPr>
                <w:sz w:val="24"/>
                <w:szCs w:val="24"/>
                <w:lang w:val="en-US"/>
              </w:rPr>
              <w:t>0</w:t>
            </w:r>
          </w:p>
        </w:tc>
      </w:tr>
    </w:tbl>
    <w:p w:rsidR="005C1A7B" w:rsidRPr="005C1A7B" w:rsidRDefault="005C1A7B" w:rsidP="009C038A">
      <w:pPr>
        <w:ind w:firstLine="0"/>
        <w:jc w:val="center"/>
        <w:rPr>
          <w:sz w:val="24"/>
          <w:szCs w:val="24"/>
          <w:lang w:val="en-US"/>
        </w:rPr>
      </w:pPr>
    </w:p>
    <w:p w:rsidR="00612811" w:rsidRPr="00697DC5" w:rsidRDefault="00612811" w:rsidP="009C038A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Технические требования к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:rsidR="004F4E9E" w:rsidRDefault="00641E44" w:rsidP="009C038A">
      <w:pPr>
        <w:pStyle w:val="ad"/>
        <w:tabs>
          <w:tab w:val="left" w:pos="709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 w:rsidR="00AE134E"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</w:t>
      </w:r>
      <w:r w:rsidR="00A07268" w:rsidRPr="00A07268">
        <w:rPr>
          <w:sz w:val="24"/>
          <w:szCs w:val="24"/>
        </w:rPr>
        <w:t xml:space="preserve">проволоки пломбировочной спирали  </w:t>
      </w:r>
      <w:r w:rsidR="004F4E9E" w:rsidRPr="00697DC5">
        <w:rPr>
          <w:sz w:val="24"/>
          <w:szCs w:val="24"/>
        </w:rPr>
        <w:t xml:space="preserve">должны соответствовать параметрам </w:t>
      </w:r>
      <w:r w:rsidR="00756EE8">
        <w:rPr>
          <w:sz w:val="24"/>
          <w:szCs w:val="24"/>
        </w:rPr>
        <w:t>и быть не ниже значений приведенных в таблице:</w:t>
      </w:r>
    </w:p>
    <w:p w:rsidR="00B42927" w:rsidRDefault="00B42927" w:rsidP="009C038A">
      <w:pPr>
        <w:pStyle w:val="ad"/>
        <w:tabs>
          <w:tab w:val="left" w:pos="709"/>
        </w:tabs>
        <w:ind w:left="0" w:firstLine="709"/>
        <w:rPr>
          <w:sz w:val="24"/>
          <w:szCs w:val="24"/>
        </w:rPr>
      </w:pPr>
    </w:p>
    <w:tbl>
      <w:tblPr>
        <w:tblStyle w:val="ab"/>
        <w:tblW w:w="10495" w:type="dxa"/>
        <w:jc w:val="center"/>
        <w:tblLook w:val="04A0" w:firstRow="1" w:lastRow="0" w:firstColumn="1" w:lastColumn="0" w:noHBand="0" w:noVBand="1"/>
      </w:tblPr>
      <w:tblGrid>
        <w:gridCol w:w="3702"/>
        <w:gridCol w:w="1755"/>
        <w:gridCol w:w="5038"/>
      </w:tblGrid>
      <w:tr w:rsidR="00756EE8" w:rsidTr="005C1A7B">
        <w:trPr>
          <w:jc w:val="center"/>
        </w:trPr>
        <w:tc>
          <w:tcPr>
            <w:tcW w:w="3702" w:type="dxa"/>
          </w:tcPr>
          <w:p w:rsidR="00756EE8" w:rsidRDefault="00756EE8" w:rsidP="009C038A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756EE8">
              <w:rPr>
                <w:sz w:val="24"/>
                <w:szCs w:val="24"/>
              </w:rPr>
              <w:t>Наименование / марка</w:t>
            </w:r>
          </w:p>
        </w:tc>
        <w:tc>
          <w:tcPr>
            <w:tcW w:w="1755" w:type="dxa"/>
          </w:tcPr>
          <w:p w:rsidR="00756EE8" w:rsidRDefault="00756EE8" w:rsidP="009C038A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756EE8">
              <w:rPr>
                <w:sz w:val="24"/>
                <w:szCs w:val="24"/>
              </w:rPr>
              <w:t>ГОСТ / ТУ</w:t>
            </w:r>
          </w:p>
        </w:tc>
        <w:tc>
          <w:tcPr>
            <w:tcW w:w="5038" w:type="dxa"/>
          </w:tcPr>
          <w:p w:rsidR="00756EE8" w:rsidRDefault="00756EE8" w:rsidP="009C038A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756EE8">
              <w:rPr>
                <w:sz w:val="24"/>
                <w:szCs w:val="24"/>
              </w:rPr>
              <w:t>Цвет / характеристика</w:t>
            </w:r>
          </w:p>
        </w:tc>
      </w:tr>
      <w:tr w:rsidR="00756EE8" w:rsidTr="005C1A7B">
        <w:trPr>
          <w:jc w:val="center"/>
        </w:trPr>
        <w:tc>
          <w:tcPr>
            <w:tcW w:w="3702" w:type="dxa"/>
            <w:vAlign w:val="center"/>
          </w:tcPr>
          <w:p w:rsidR="00756EE8" w:rsidRDefault="001512B3" w:rsidP="009C038A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1512B3">
              <w:rPr>
                <w:sz w:val="24"/>
                <w:szCs w:val="24"/>
              </w:rPr>
              <w:t>Проволока пломбировочная спираль</w:t>
            </w:r>
          </w:p>
        </w:tc>
        <w:tc>
          <w:tcPr>
            <w:tcW w:w="1755" w:type="dxa"/>
            <w:vAlign w:val="center"/>
          </w:tcPr>
          <w:p w:rsidR="001512B3" w:rsidRDefault="001512B3" w:rsidP="009C038A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  <w:p w:rsidR="001512B3" w:rsidRPr="001512B3" w:rsidRDefault="001512B3" w:rsidP="009C038A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1512B3">
              <w:rPr>
                <w:sz w:val="24"/>
                <w:szCs w:val="24"/>
              </w:rPr>
              <w:t>ГОСТ</w:t>
            </w:r>
            <w:r>
              <w:rPr>
                <w:sz w:val="24"/>
                <w:szCs w:val="24"/>
              </w:rPr>
              <w:t xml:space="preserve"> 3282-74</w:t>
            </w:r>
          </w:p>
          <w:p w:rsidR="00756EE8" w:rsidRDefault="00756EE8" w:rsidP="009C038A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38" w:type="dxa"/>
            <w:vAlign w:val="center"/>
          </w:tcPr>
          <w:p w:rsidR="00756EE8" w:rsidRPr="001512B3" w:rsidRDefault="00756EE8" w:rsidP="009C038A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</w:t>
            </w:r>
            <w:r w:rsidR="00B86AE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1512B3">
              <w:rPr>
                <w:sz w:val="24"/>
                <w:szCs w:val="24"/>
              </w:rPr>
              <w:t>0,7мм.</w:t>
            </w:r>
          </w:p>
          <w:p w:rsidR="00756EE8" w:rsidRDefault="001512B3" w:rsidP="009C038A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  <w:r w:rsidR="00B86AE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 </w:t>
            </w:r>
            <w:r w:rsidRPr="001512B3">
              <w:rPr>
                <w:sz w:val="24"/>
                <w:szCs w:val="24"/>
              </w:rPr>
              <w:t>гальванизированн</w:t>
            </w:r>
            <w:r>
              <w:rPr>
                <w:sz w:val="24"/>
                <w:szCs w:val="24"/>
              </w:rPr>
              <w:t>ая</w:t>
            </w:r>
            <w:r w:rsidRPr="001512B3">
              <w:rPr>
                <w:sz w:val="24"/>
                <w:szCs w:val="24"/>
              </w:rPr>
              <w:t xml:space="preserve"> стал</w:t>
            </w:r>
            <w:r>
              <w:rPr>
                <w:sz w:val="24"/>
                <w:szCs w:val="24"/>
              </w:rPr>
              <w:t>ь</w:t>
            </w:r>
          </w:p>
          <w:p w:rsidR="00662266" w:rsidRDefault="00B86AE5" w:rsidP="009C038A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прочности:</w:t>
            </w:r>
            <w:r w:rsidR="00662266">
              <w:rPr>
                <w:sz w:val="24"/>
                <w:szCs w:val="24"/>
              </w:rPr>
              <w:t xml:space="preserve"> </w:t>
            </w:r>
            <w:r w:rsidR="00662266" w:rsidRPr="00662266">
              <w:rPr>
                <w:sz w:val="24"/>
                <w:szCs w:val="24"/>
              </w:rPr>
              <w:t xml:space="preserve">обеспечивать стойкость к атмосферным воздействиям в течение всего срока эксплуатации, обеспечивать предельно допустимые растягивающие усилия в соответствии с </w:t>
            </w:r>
            <w:r w:rsidR="00662266" w:rsidRPr="001512B3">
              <w:rPr>
                <w:sz w:val="24"/>
                <w:szCs w:val="24"/>
              </w:rPr>
              <w:t>ГОСТ</w:t>
            </w:r>
            <w:r w:rsidR="00662266">
              <w:rPr>
                <w:sz w:val="24"/>
                <w:szCs w:val="24"/>
              </w:rPr>
              <w:t xml:space="preserve"> 3282-74</w:t>
            </w:r>
          </w:p>
          <w:p w:rsidR="001512B3" w:rsidRDefault="00B86AE5" w:rsidP="009C038A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Требование к поставке:</w:t>
            </w:r>
            <w:r w:rsidR="00662266">
              <w:rPr>
                <w:sz w:val="24"/>
                <w:szCs w:val="24"/>
              </w:rPr>
              <w:t xml:space="preserve"> п</w:t>
            </w:r>
            <w:r w:rsidR="00662266" w:rsidRPr="00662266">
              <w:rPr>
                <w:sz w:val="24"/>
                <w:szCs w:val="24"/>
              </w:rPr>
              <w:t xml:space="preserve">оставка </w:t>
            </w:r>
            <w:r w:rsidR="00662266">
              <w:rPr>
                <w:sz w:val="24"/>
                <w:szCs w:val="24"/>
              </w:rPr>
              <w:t>п</w:t>
            </w:r>
            <w:r w:rsidR="00662266" w:rsidRPr="00662266">
              <w:rPr>
                <w:sz w:val="24"/>
                <w:szCs w:val="24"/>
              </w:rPr>
              <w:t xml:space="preserve">ломбировочной проволоки должна </w:t>
            </w:r>
            <w:r w:rsidR="004F5B3B">
              <w:rPr>
                <w:sz w:val="24"/>
                <w:szCs w:val="24"/>
              </w:rPr>
              <w:t>осуществляться</w:t>
            </w:r>
            <w:r w:rsidR="00662266" w:rsidRPr="00662266">
              <w:rPr>
                <w:sz w:val="24"/>
                <w:szCs w:val="24"/>
              </w:rPr>
              <w:t xml:space="preserve"> в катушках по 100 м.</w:t>
            </w:r>
          </w:p>
        </w:tc>
      </w:tr>
    </w:tbl>
    <w:p w:rsidR="00521472" w:rsidRDefault="00521472" w:rsidP="009C038A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521472" w:rsidRDefault="00521472" w:rsidP="009C038A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521472" w:rsidRPr="00697DC5" w:rsidRDefault="00521472" w:rsidP="009C038A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59154E" w:rsidRPr="003201DB" w:rsidRDefault="0059154E" w:rsidP="009C038A">
      <w:pPr>
        <w:pStyle w:val="ad"/>
        <w:numPr>
          <w:ilvl w:val="0"/>
          <w:numId w:val="3"/>
        </w:numPr>
        <w:ind w:left="993" w:hanging="284"/>
        <w:rPr>
          <w:b/>
          <w:bCs/>
          <w:sz w:val="26"/>
          <w:szCs w:val="26"/>
        </w:rPr>
      </w:pPr>
      <w:r w:rsidRPr="003201DB">
        <w:rPr>
          <w:b/>
          <w:bCs/>
          <w:sz w:val="26"/>
          <w:szCs w:val="26"/>
        </w:rPr>
        <w:t xml:space="preserve">Общие требования. </w:t>
      </w:r>
    </w:p>
    <w:p w:rsidR="0059154E" w:rsidRDefault="0059154E" w:rsidP="009C038A">
      <w:pPr>
        <w:pStyle w:val="ad"/>
        <w:tabs>
          <w:tab w:val="left" w:pos="1134"/>
        </w:tabs>
        <w:ind w:left="0" w:firstLine="709"/>
        <w:jc w:val="left"/>
        <w:rPr>
          <w:sz w:val="24"/>
          <w:szCs w:val="24"/>
        </w:rPr>
      </w:pPr>
      <w:r w:rsidRPr="0059154E">
        <w:rPr>
          <w:sz w:val="24"/>
          <w:szCs w:val="24"/>
        </w:rPr>
        <w:t xml:space="preserve">К поставке допускается </w:t>
      </w:r>
      <w:r w:rsidR="003201DB" w:rsidRPr="001512B3">
        <w:rPr>
          <w:sz w:val="24"/>
          <w:szCs w:val="24"/>
        </w:rPr>
        <w:t>пломбировочная</w:t>
      </w:r>
      <w:r w:rsidR="003201DB">
        <w:rPr>
          <w:sz w:val="24"/>
          <w:szCs w:val="24"/>
        </w:rPr>
        <w:t xml:space="preserve"> п</w:t>
      </w:r>
      <w:r w:rsidR="003201DB" w:rsidRPr="001512B3">
        <w:rPr>
          <w:sz w:val="24"/>
          <w:szCs w:val="24"/>
        </w:rPr>
        <w:t>роволока</w:t>
      </w:r>
      <w:r w:rsidRPr="0059154E">
        <w:rPr>
          <w:sz w:val="24"/>
          <w:szCs w:val="24"/>
        </w:rPr>
        <w:t xml:space="preserve">, отвечающая следующим требованиям: </w:t>
      </w:r>
    </w:p>
    <w:p w:rsidR="0059154E" w:rsidRPr="0059154E" w:rsidRDefault="003201DB" w:rsidP="009C038A">
      <w:pPr>
        <w:pStyle w:val="ad"/>
        <w:numPr>
          <w:ilvl w:val="0"/>
          <w:numId w:val="12"/>
        </w:numPr>
        <w:tabs>
          <w:tab w:val="left" w:pos="709"/>
        </w:tabs>
        <w:ind w:left="0" w:firstLine="0"/>
        <w:rPr>
          <w:sz w:val="24"/>
          <w:szCs w:val="24"/>
        </w:rPr>
      </w:pPr>
      <w:r w:rsidRPr="001512B3">
        <w:rPr>
          <w:sz w:val="24"/>
          <w:szCs w:val="24"/>
        </w:rPr>
        <w:t>пломбировочная</w:t>
      </w:r>
      <w:r>
        <w:rPr>
          <w:sz w:val="24"/>
          <w:szCs w:val="24"/>
        </w:rPr>
        <w:t xml:space="preserve"> п</w:t>
      </w:r>
      <w:r w:rsidRPr="001512B3">
        <w:rPr>
          <w:sz w:val="24"/>
          <w:szCs w:val="24"/>
        </w:rPr>
        <w:t>роволока</w:t>
      </w:r>
      <w:r w:rsidR="0059154E" w:rsidRPr="0059154E">
        <w:rPr>
          <w:sz w:val="24"/>
          <w:szCs w:val="24"/>
        </w:rPr>
        <w:t xml:space="preserve"> должна быть новой, оригинальной, не восстановленной, не бывшей в эксплуатации,</w:t>
      </w:r>
      <w:r w:rsidR="0059154E">
        <w:rPr>
          <w:sz w:val="24"/>
          <w:szCs w:val="24"/>
        </w:rPr>
        <w:t xml:space="preserve"> </w:t>
      </w:r>
      <w:r w:rsidR="0059154E" w:rsidRPr="0059154E">
        <w:rPr>
          <w:sz w:val="24"/>
          <w:szCs w:val="24"/>
        </w:rPr>
        <w:t xml:space="preserve">не заложенной, не арестованной, не являться предметом иска третьих лиц.  </w:t>
      </w:r>
    </w:p>
    <w:p w:rsidR="0059154E" w:rsidRPr="0059154E" w:rsidRDefault="003201DB" w:rsidP="009C038A">
      <w:pPr>
        <w:pStyle w:val="ad"/>
        <w:numPr>
          <w:ilvl w:val="0"/>
          <w:numId w:val="12"/>
        </w:numPr>
        <w:tabs>
          <w:tab w:val="left" w:pos="709"/>
          <w:tab w:val="left" w:pos="1560"/>
        </w:tabs>
        <w:ind w:left="0" w:firstLine="0"/>
        <w:rPr>
          <w:sz w:val="24"/>
          <w:szCs w:val="24"/>
        </w:rPr>
      </w:pPr>
      <w:r w:rsidRPr="001512B3">
        <w:rPr>
          <w:sz w:val="24"/>
          <w:szCs w:val="24"/>
        </w:rPr>
        <w:t>пломбировочная</w:t>
      </w:r>
      <w:r>
        <w:rPr>
          <w:sz w:val="24"/>
          <w:szCs w:val="24"/>
        </w:rPr>
        <w:t xml:space="preserve"> п</w:t>
      </w:r>
      <w:r w:rsidRPr="001512B3">
        <w:rPr>
          <w:sz w:val="24"/>
          <w:szCs w:val="24"/>
        </w:rPr>
        <w:t>роволока</w:t>
      </w:r>
      <w:r w:rsidR="0059154E" w:rsidRPr="0059154E">
        <w:rPr>
          <w:sz w:val="24"/>
          <w:szCs w:val="24"/>
        </w:rPr>
        <w:t xml:space="preserve">  должна  изготавливаться  согласно  требован</w:t>
      </w:r>
      <w:r w:rsidR="0059154E">
        <w:rPr>
          <w:sz w:val="24"/>
          <w:szCs w:val="24"/>
        </w:rPr>
        <w:t xml:space="preserve">иям  нормативной  документации, </w:t>
      </w:r>
      <w:r w:rsidR="0059154E" w:rsidRPr="0059154E">
        <w:rPr>
          <w:sz w:val="24"/>
          <w:szCs w:val="24"/>
        </w:rPr>
        <w:t xml:space="preserve">действующей на территории РФ.  </w:t>
      </w:r>
    </w:p>
    <w:p w:rsidR="0059154E" w:rsidRPr="0059154E" w:rsidRDefault="0059154E" w:rsidP="009C038A">
      <w:pPr>
        <w:pStyle w:val="ad"/>
        <w:numPr>
          <w:ilvl w:val="0"/>
          <w:numId w:val="12"/>
        </w:numPr>
        <w:tabs>
          <w:tab w:val="left" w:pos="709"/>
          <w:tab w:val="left" w:pos="1560"/>
        </w:tabs>
        <w:ind w:left="0" w:firstLine="0"/>
        <w:rPr>
          <w:sz w:val="24"/>
          <w:szCs w:val="24"/>
        </w:rPr>
      </w:pPr>
      <w:r w:rsidRPr="0059154E">
        <w:rPr>
          <w:sz w:val="24"/>
          <w:szCs w:val="24"/>
        </w:rPr>
        <w:t>поставляем</w:t>
      </w:r>
      <w:r w:rsidR="003201DB">
        <w:rPr>
          <w:sz w:val="24"/>
          <w:szCs w:val="24"/>
        </w:rPr>
        <w:t>ая</w:t>
      </w:r>
      <w:r w:rsidRPr="0059154E">
        <w:rPr>
          <w:sz w:val="24"/>
          <w:szCs w:val="24"/>
        </w:rPr>
        <w:t xml:space="preserve"> </w:t>
      </w:r>
      <w:r w:rsidR="003201DB" w:rsidRPr="001512B3">
        <w:rPr>
          <w:sz w:val="24"/>
          <w:szCs w:val="24"/>
        </w:rPr>
        <w:t>пломбировочная</w:t>
      </w:r>
      <w:r w:rsidR="003201DB">
        <w:rPr>
          <w:sz w:val="24"/>
          <w:szCs w:val="24"/>
        </w:rPr>
        <w:t xml:space="preserve"> п</w:t>
      </w:r>
      <w:r w:rsidR="003201DB" w:rsidRPr="001512B3">
        <w:rPr>
          <w:sz w:val="24"/>
          <w:szCs w:val="24"/>
        </w:rPr>
        <w:t>роволока</w:t>
      </w:r>
      <w:r w:rsidR="00A7224B">
        <w:rPr>
          <w:sz w:val="24"/>
          <w:szCs w:val="24"/>
        </w:rPr>
        <w:t xml:space="preserve"> не долж</w:t>
      </w:r>
      <w:r w:rsidRPr="0059154E">
        <w:rPr>
          <w:sz w:val="24"/>
          <w:szCs w:val="24"/>
        </w:rPr>
        <w:t>н</w:t>
      </w:r>
      <w:r w:rsidR="00A7224B">
        <w:rPr>
          <w:sz w:val="24"/>
          <w:szCs w:val="24"/>
        </w:rPr>
        <w:t>а</w:t>
      </w:r>
      <w:r w:rsidRPr="0059154E">
        <w:rPr>
          <w:sz w:val="24"/>
          <w:szCs w:val="24"/>
        </w:rPr>
        <w:t xml:space="preserve"> иметь дефектов, связанных с материалами и/или работой по е</w:t>
      </w:r>
      <w:r w:rsidR="00A7224B">
        <w:rPr>
          <w:sz w:val="24"/>
          <w:szCs w:val="24"/>
        </w:rPr>
        <w:t>е</w:t>
      </w:r>
      <w:r w:rsidRPr="0059154E">
        <w:rPr>
          <w:sz w:val="24"/>
          <w:szCs w:val="24"/>
        </w:rPr>
        <w:t xml:space="preserve"> изготовлению, либо проявляющихся в результате действия или упущения  производителя (поставщика),  при  соблюдении  Заказчиком  правил  хранения  и/ил</w:t>
      </w:r>
      <w:r>
        <w:rPr>
          <w:sz w:val="24"/>
          <w:szCs w:val="24"/>
        </w:rPr>
        <w:t xml:space="preserve">и  использования  поставляемого </w:t>
      </w:r>
      <w:r w:rsidRPr="0059154E">
        <w:rPr>
          <w:sz w:val="24"/>
          <w:szCs w:val="24"/>
        </w:rPr>
        <w:t xml:space="preserve">товара.  </w:t>
      </w:r>
    </w:p>
    <w:p w:rsidR="0059154E" w:rsidRPr="0059154E" w:rsidRDefault="003201DB" w:rsidP="009C038A">
      <w:pPr>
        <w:pStyle w:val="ad"/>
        <w:numPr>
          <w:ilvl w:val="0"/>
          <w:numId w:val="12"/>
        </w:numPr>
        <w:tabs>
          <w:tab w:val="left" w:pos="709"/>
        </w:tabs>
        <w:ind w:left="0" w:firstLine="0"/>
        <w:rPr>
          <w:sz w:val="24"/>
          <w:szCs w:val="24"/>
        </w:rPr>
      </w:pPr>
      <w:r w:rsidRPr="001512B3">
        <w:rPr>
          <w:sz w:val="24"/>
          <w:szCs w:val="24"/>
        </w:rPr>
        <w:t>пломбировочная</w:t>
      </w:r>
      <w:r>
        <w:rPr>
          <w:sz w:val="24"/>
          <w:szCs w:val="24"/>
        </w:rPr>
        <w:t xml:space="preserve"> п</w:t>
      </w:r>
      <w:r w:rsidRPr="001512B3">
        <w:rPr>
          <w:sz w:val="24"/>
          <w:szCs w:val="24"/>
        </w:rPr>
        <w:t>роволока</w:t>
      </w:r>
      <w:r>
        <w:rPr>
          <w:sz w:val="24"/>
          <w:szCs w:val="24"/>
        </w:rPr>
        <w:t xml:space="preserve"> должна быть пригод</w:t>
      </w:r>
      <w:r w:rsidR="0059154E" w:rsidRPr="0059154E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59154E" w:rsidRPr="0059154E">
        <w:rPr>
          <w:sz w:val="24"/>
          <w:szCs w:val="24"/>
        </w:rPr>
        <w:t xml:space="preserve"> для целей</w:t>
      </w:r>
      <w:r>
        <w:rPr>
          <w:sz w:val="24"/>
          <w:szCs w:val="24"/>
        </w:rPr>
        <w:t xml:space="preserve">, для которых она </w:t>
      </w:r>
      <w:r w:rsidR="0059154E" w:rsidRPr="0059154E">
        <w:rPr>
          <w:sz w:val="24"/>
          <w:szCs w:val="24"/>
        </w:rPr>
        <w:t xml:space="preserve">обычно используется. </w:t>
      </w:r>
    </w:p>
    <w:p w:rsidR="0059154E" w:rsidRPr="0059154E" w:rsidRDefault="00A7224B" w:rsidP="009C038A">
      <w:pPr>
        <w:pStyle w:val="ad"/>
        <w:numPr>
          <w:ilvl w:val="0"/>
          <w:numId w:val="12"/>
        </w:numPr>
        <w:tabs>
          <w:tab w:val="left" w:pos="709"/>
        </w:tabs>
        <w:ind w:left="0" w:firstLine="0"/>
        <w:rPr>
          <w:sz w:val="24"/>
          <w:szCs w:val="24"/>
        </w:rPr>
      </w:pPr>
      <w:r w:rsidRPr="001512B3">
        <w:rPr>
          <w:sz w:val="24"/>
          <w:szCs w:val="24"/>
        </w:rPr>
        <w:t>пломбировочная</w:t>
      </w:r>
      <w:r>
        <w:rPr>
          <w:sz w:val="24"/>
          <w:szCs w:val="24"/>
        </w:rPr>
        <w:t xml:space="preserve"> п</w:t>
      </w:r>
      <w:r w:rsidRPr="001512B3">
        <w:rPr>
          <w:sz w:val="24"/>
          <w:szCs w:val="24"/>
        </w:rPr>
        <w:t>роволока</w:t>
      </w:r>
      <w:r w:rsidR="0059154E" w:rsidRPr="0059154E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59154E" w:rsidRPr="0059154E">
        <w:rPr>
          <w:sz w:val="24"/>
          <w:szCs w:val="24"/>
        </w:rPr>
        <w:t xml:space="preserve"> поставляться в упаковке, способной предотвратить </w:t>
      </w:r>
      <w:r>
        <w:rPr>
          <w:sz w:val="24"/>
          <w:szCs w:val="24"/>
        </w:rPr>
        <w:t>ее</w:t>
      </w:r>
      <w:r w:rsidR="0059154E" w:rsidRPr="0059154E">
        <w:rPr>
          <w:sz w:val="24"/>
          <w:szCs w:val="24"/>
        </w:rPr>
        <w:t xml:space="preserve"> повреждение или порчу</w:t>
      </w:r>
      <w:r w:rsidR="0059154E">
        <w:rPr>
          <w:sz w:val="24"/>
          <w:szCs w:val="24"/>
        </w:rPr>
        <w:t xml:space="preserve"> </w:t>
      </w:r>
      <w:r w:rsidR="0059154E" w:rsidRPr="0059154E">
        <w:rPr>
          <w:sz w:val="24"/>
          <w:szCs w:val="24"/>
        </w:rPr>
        <w:t xml:space="preserve">во время перевозки, передачи Заказчику и дальнейшего хранения. </w:t>
      </w:r>
    </w:p>
    <w:p w:rsidR="0059154E" w:rsidRPr="003201DB" w:rsidRDefault="0059154E" w:rsidP="009C038A">
      <w:pPr>
        <w:pStyle w:val="ad"/>
        <w:numPr>
          <w:ilvl w:val="0"/>
          <w:numId w:val="12"/>
        </w:numPr>
        <w:tabs>
          <w:tab w:val="left" w:pos="709"/>
        </w:tabs>
        <w:ind w:left="0" w:firstLine="0"/>
        <w:rPr>
          <w:sz w:val="24"/>
          <w:szCs w:val="24"/>
        </w:rPr>
      </w:pPr>
      <w:r w:rsidRPr="0059154E">
        <w:rPr>
          <w:sz w:val="24"/>
          <w:szCs w:val="24"/>
        </w:rPr>
        <w:t xml:space="preserve">качество  </w:t>
      </w:r>
      <w:r w:rsidR="00A7224B" w:rsidRPr="001512B3">
        <w:rPr>
          <w:sz w:val="24"/>
          <w:szCs w:val="24"/>
        </w:rPr>
        <w:t>пломбировочн</w:t>
      </w:r>
      <w:r w:rsidR="00A7224B">
        <w:rPr>
          <w:sz w:val="24"/>
          <w:szCs w:val="24"/>
        </w:rPr>
        <w:t>ой проволо</w:t>
      </w:r>
      <w:r w:rsidR="00A7224B" w:rsidRPr="001512B3">
        <w:rPr>
          <w:sz w:val="24"/>
          <w:szCs w:val="24"/>
        </w:rPr>
        <w:t>к</w:t>
      </w:r>
      <w:r w:rsidR="00A7224B">
        <w:rPr>
          <w:sz w:val="24"/>
          <w:szCs w:val="24"/>
        </w:rPr>
        <w:t>и</w:t>
      </w:r>
      <w:r w:rsidRPr="0059154E">
        <w:rPr>
          <w:sz w:val="24"/>
          <w:szCs w:val="24"/>
        </w:rPr>
        <w:t xml:space="preserve">  должно  быть  подтверждено  </w:t>
      </w:r>
      <w:r w:rsidRPr="003201DB">
        <w:rPr>
          <w:sz w:val="24"/>
          <w:szCs w:val="24"/>
        </w:rPr>
        <w:t xml:space="preserve">документами,  подтверждающими  </w:t>
      </w:r>
      <w:r w:rsidR="00042404">
        <w:rPr>
          <w:sz w:val="24"/>
          <w:szCs w:val="24"/>
        </w:rPr>
        <w:t xml:space="preserve">ее </w:t>
      </w:r>
      <w:r w:rsidRPr="003201DB">
        <w:rPr>
          <w:sz w:val="24"/>
          <w:szCs w:val="24"/>
        </w:rPr>
        <w:t>качество,  оформленными  в</w:t>
      </w:r>
      <w:r w:rsidR="003201DB">
        <w:rPr>
          <w:sz w:val="24"/>
          <w:szCs w:val="24"/>
        </w:rPr>
        <w:t xml:space="preserve"> </w:t>
      </w:r>
      <w:r w:rsidRPr="003201DB">
        <w:rPr>
          <w:sz w:val="24"/>
          <w:szCs w:val="24"/>
        </w:rPr>
        <w:t xml:space="preserve">соответствии  с  действующим  законодательством  РФ.  </w:t>
      </w:r>
      <w:r w:rsidR="00042404">
        <w:rPr>
          <w:sz w:val="24"/>
          <w:szCs w:val="24"/>
        </w:rPr>
        <w:t>Д</w:t>
      </w:r>
      <w:r w:rsidRPr="003201DB">
        <w:rPr>
          <w:sz w:val="24"/>
          <w:szCs w:val="24"/>
        </w:rPr>
        <w:t>окументы  должны</w:t>
      </w:r>
      <w:r w:rsidR="003201DB">
        <w:rPr>
          <w:sz w:val="24"/>
          <w:szCs w:val="24"/>
        </w:rPr>
        <w:t xml:space="preserve"> </w:t>
      </w:r>
      <w:r w:rsidRPr="003201DB">
        <w:rPr>
          <w:sz w:val="24"/>
          <w:szCs w:val="24"/>
        </w:rPr>
        <w:t xml:space="preserve">предоставляться на каждую партию продукции.  </w:t>
      </w:r>
    </w:p>
    <w:p w:rsidR="003201DB" w:rsidRDefault="00042404" w:rsidP="009C038A">
      <w:pPr>
        <w:pStyle w:val="ad"/>
        <w:numPr>
          <w:ilvl w:val="0"/>
          <w:numId w:val="12"/>
        </w:numPr>
        <w:tabs>
          <w:tab w:val="left" w:pos="709"/>
          <w:tab w:val="left" w:pos="1560"/>
        </w:tabs>
        <w:ind w:left="0" w:firstLine="0"/>
        <w:rPr>
          <w:sz w:val="24"/>
          <w:szCs w:val="24"/>
        </w:rPr>
      </w:pPr>
      <w:r w:rsidRPr="001512B3">
        <w:rPr>
          <w:sz w:val="24"/>
          <w:szCs w:val="24"/>
        </w:rPr>
        <w:t>пломбировочная</w:t>
      </w:r>
      <w:r>
        <w:rPr>
          <w:sz w:val="24"/>
          <w:szCs w:val="24"/>
        </w:rPr>
        <w:t xml:space="preserve"> п</w:t>
      </w:r>
      <w:r w:rsidRPr="001512B3">
        <w:rPr>
          <w:sz w:val="24"/>
          <w:szCs w:val="24"/>
        </w:rPr>
        <w:t>роволока</w:t>
      </w:r>
      <w:r w:rsidR="0059154E" w:rsidRPr="0059154E">
        <w:rPr>
          <w:sz w:val="24"/>
          <w:szCs w:val="24"/>
        </w:rPr>
        <w:t xml:space="preserve">  должна  быть  поставлена  в  таре  и  у</w:t>
      </w:r>
      <w:r>
        <w:rPr>
          <w:sz w:val="24"/>
          <w:szCs w:val="24"/>
        </w:rPr>
        <w:t xml:space="preserve">паковке,  обеспечивающей ее </w:t>
      </w:r>
      <w:r w:rsidR="0059154E" w:rsidRPr="0059154E">
        <w:rPr>
          <w:sz w:val="24"/>
          <w:szCs w:val="24"/>
        </w:rPr>
        <w:t>сохранность</w:t>
      </w:r>
      <w:r w:rsidR="003201DB">
        <w:rPr>
          <w:sz w:val="24"/>
          <w:szCs w:val="24"/>
        </w:rPr>
        <w:t xml:space="preserve"> </w:t>
      </w:r>
      <w:r w:rsidR="0059154E" w:rsidRPr="003201DB">
        <w:rPr>
          <w:sz w:val="24"/>
          <w:szCs w:val="24"/>
        </w:rPr>
        <w:t xml:space="preserve">в течение всего периода времени, включая транспортирование. </w:t>
      </w:r>
    </w:p>
    <w:p w:rsidR="003201DB" w:rsidRPr="00521472" w:rsidRDefault="0059154E" w:rsidP="009C038A">
      <w:pPr>
        <w:pStyle w:val="ad"/>
        <w:tabs>
          <w:tab w:val="left" w:pos="709"/>
          <w:tab w:val="left" w:pos="1560"/>
        </w:tabs>
        <w:ind w:left="0" w:firstLine="0"/>
        <w:rPr>
          <w:sz w:val="16"/>
          <w:szCs w:val="16"/>
        </w:rPr>
      </w:pPr>
      <w:r w:rsidRPr="003201DB">
        <w:rPr>
          <w:sz w:val="24"/>
          <w:szCs w:val="24"/>
        </w:rPr>
        <w:t xml:space="preserve"> </w:t>
      </w:r>
    </w:p>
    <w:p w:rsidR="00612811" w:rsidRPr="00697DC5" w:rsidRDefault="00612811" w:rsidP="009C038A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:rsidR="004F4E9E" w:rsidRDefault="003201DB" w:rsidP="009C038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3201DB">
        <w:rPr>
          <w:sz w:val="24"/>
          <w:szCs w:val="24"/>
        </w:rPr>
        <w:t>Гарантийные обязательства Поставщика должны распространяться на вс</w:t>
      </w:r>
      <w:r w:rsidR="000D2A34">
        <w:rPr>
          <w:sz w:val="24"/>
          <w:szCs w:val="24"/>
        </w:rPr>
        <w:t>ю</w:t>
      </w:r>
      <w:r w:rsidRPr="003201DB">
        <w:rPr>
          <w:sz w:val="24"/>
          <w:szCs w:val="24"/>
        </w:rPr>
        <w:t xml:space="preserve"> </w:t>
      </w:r>
      <w:r w:rsidR="000D2A34">
        <w:rPr>
          <w:sz w:val="24"/>
          <w:szCs w:val="24"/>
        </w:rPr>
        <w:t xml:space="preserve">поставляемую </w:t>
      </w:r>
      <w:r w:rsidR="000D2A34" w:rsidRPr="001512B3">
        <w:rPr>
          <w:sz w:val="24"/>
          <w:szCs w:val="24"/>
        </w:rPr>
        <w:t>пломбировочн</w:t>
      </w:r>
      <w:r w:rsidR="000D2A34">
        <w:rPr>
          <w:sz w:val="24"/>
          <w:szCs w:val="24"/>
        </w:rPr>
        <w:t>ую п</w:t>
      </w:r>
      <w:r w:rsidR="000D2A34" w:rsidRPr="001512B3">
        <w:rPr>
          <w:sz w:val="24"/>
          <w:szCs w:val="24"/>
        </w:rPr>
        <w:t>роволок</w:t>
      </w:r>
      <w:r w:rsidR="000D2A34">
        <w:rPr>
          <w:sz w:val="24"/>
          <w:szCs w:val="24"/>
        </w:rPr>
        <w:t>у</w:t>
      </w:r>
      <w:r w:rsidRPr="003201DB">
        <w:rPr>
          <w:sz w:val="24"/>
          <w:szCs w:val="24"/>
        </w:rPr>
        <w:t>. Срок гарантии  Поставщика  на  поставляем</w:t>
      </w:r>
      <w:r w:rsidR="00A07268">
        <w:rPr>
          <w:sz w:val="24"/>
          <w:szCs w:val="24"/>
        </w:rPr>
        <w:t>ую</w:t>
      </w:r>
      <w:r w:rsidRPr="003201DB">
        <w:rPr>
          <w:sz w:val="24"/>
          <w:szCs w:val="24"/>
        </w:rPr>
        <w:t xml:space="preserve">  по  настоящему  договору  </w:t>
      </w:r>
      <w:r w:rsidR="00A07268">
        <w:rPr>
          <w:sz w:val="24"/>
          <w:szCs w:val="24"/>
        </w:rPr>
        <w:t>пломбировочную п</w:t>
      </w:r>
      <w:r w:rsidR="00A07268" w:rsidRPr="001512B3">
        <w:rPr>
          <w:sz w:val="24"/>
          <w:szCs w:val="24"/>
        </w:rPr>
        <w:t>роволок</w:t>
      </w:r>
      <w:r w:rsidR="00A07268">
        <w:rPr>
          <w:sz w:val="24"/>
          <w:szCs w:val="24"/>
        </w:rPr>
        <w:t>у</w:t>
      </w:r>
      <w:r w:rsidRPr="003201DB">
        <w:rPr>
          <w:sz w:val="24"/>
          <w:szCs w:val="24"/>
        </w:rPr>
        <w:t xml:space="preserve">  составляет  не  менее  12 месяцев.</w:t>
      </w:r>
      <w:r w:rsidR="00612811" w:rsidRPr="00697DC5">
        <w:rPr>
          <w:sz w:val="24"/>
          <w:szCs w:val="24"/>
        </w:rPr>
        <w:t xml:space="preserve"> </w:t>
      </w:r>
      <w:r w:rsidRPr="003201DB">
        <w:rPr>
          <w:sz w:val="24"/>
          <w:szCs w:val="24"/>
        </w:rPr>
        <w:t>Начальной датой гарантии является дата подписания товарной накладной.</w:t>
      </w:r>
      <w:r w:rsidR="00612811" w:rsidRPr="00697DC5">
        <w:rPr>
          <w:sz w:val="24"/>
          <w:szCs w:val="24"/>
        </w:rPr>
        <w:t xml:space="preserve"> Поставщик должен за свой счет и сроки, согласованные с </w:t>
      </w:r>
      <w:r w:rsidR="005B67FF" w:rsidRPr="00697DC5">
        <w:rPr>
          <w:sz w:val="24"/>
          <w:szCs w:val="24"/>
        </w:rPr>
        <w:t>Покупателем</w:t>
      </w:r>
      <w:r w:rsidR="00310587" w:rsidRPr="00697DC5">
        <w:rPr>
          <w:sz w:val="24"/>
          <w:szCs w:val="24"/>
        </w:rPr>
        <w:t>, устранять любые дефекты</w:t>
      </w:r>
      <w:r w:rsidR="00612811" w:rsidRPr="00697DC5">
        <w:rPr>
          <w:sz w:val="24"/>
          <w:szCs w:val="24"/>
        </w:rPr>
        <w:t>, выявленн</w:t>
      </w:r>
      <w:r w:rsidR="00A07268">
        <w:rPr>
          <w:sz w:val="24"/>
          <w:szCs w:val="24"/>
        </w:rPr>
        <w:t>ые в период гарантийного срока.</w:t>
      </w:r>
    </w:p>
    <w:p w:rsidR="00590397" w:rsidRPr="00521472" w:rsidRDefault="00590397" w:rsidP="009C038A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612811" w:rsidRPr="00697DC5" w:rsidRDefault="00EA00A8" w:rsidP="009C038A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Требования к надежности и </w:t>
      </w:r>
      <w:r w:rsidR="00612811" w:rsidRPr="00697DC5">
        <w:rPr>
          <w:b/>
          <w:bCs/>
          <w:sz w:val="26"/>
          <w:szCs w:val="26"/>
        </w:rPr>
        <w:t xml:space="preserve">живучести </w:t>
      </w:r>
      <w:r w:rsidR="000D4FD2" w:rsidRPr="00697DC5">
        <w:rPr>
          <w:b/>
          <w:bCs/>
          <w:sz w:val="26"/>
          <w:szCs w:val="26"/>
        </w:rPr>
        <w:t>продукции</w:t>
      </w:r>
      <w:r w:rsidR="00612811" w:rsidRPr="00697DC5">
        <w:rPr>
          <w:b/>
          <w:bCs/>
          <w:sz w:val="26"/>
          <w:szCs w:val="26"/>
        </w:rPr>
        <w:t>.</w:t>
      </w:r>
    </w:p>
    <w:p w:rsidR="00A07268" w:rsidRPr="00A07268" w:rsidRDefault="00A07268" w:rsidP="009C038A">
      <w:pPr>
        <w:ind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1512B3">
        <w:rPr>
          <w:sz w:val="24"/>
          <w:szCs w:val="24"/>
        </w:rPr>
        <w:t>ломбировочная</w:t>
      </w:r>
      <w:r>
        <w:rPr>
          <w:sz w:val="24"/>
          <w:szCs w:val="24"/>
        </w:rPr>
        <w:t xml:space="preserve"> п</w:t>
      </w:r>
      <w:r w:rsidRPr="001512B3">
        <w:rPr>
          <w:sz w:val="24"/>
          <w:szCs w:val="24"/>
        </w:rPr>
        <w:t>роволока</w:t>
      </w:r>
      <w:r w:rsidRPr="00A07268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A07268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службы. </w:t>
      </w:r>
    </w:p>
    <w:p w:rsidR="004F4E9E" w:rsidRPr="00521472" w:rsidRDefault="004F4E9E" w:rsidP="009C038A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612811" w:rsidRPr="00697DC5" w:rsidRDefault="006004FC" w:rsidP="009C038A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</w:t>
      </w:r>
      <w:r w:rsidR="00612811" w:rsidRPr="00697DC5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D1ABA" w:rsidRPr="009D1ABA" w:rsidRDefault="009D1ABA" w:rsidP="009C038A">
      <w:pPr>
        <w:ind w:firstLine="709"/>
        <w:rPr>
          <w:sz w:val="24"/>
          <w:szCs w:val="24"/>
        </w:rPr>
      </w:pPr>
      <w:r w:rsidRPr="009D1ABA">
        <w:rPr>
          <w:sz w:val="24"/>
          <w:szCs w:val="24"/>
        </w:rPr>
        <w:t xml:space="preserve">На  момент  поставки,  на  </w:t>
      </w:r>
      <w:r w:rsidRPr="001512B3">
        <w:rPr>
          <w:sz w:val="24"/>
          <w:szCs w:val="24"/>
        </w:rPr>
        <w:t>пломбировочн</w:t>
      </w:r>
      <w:r>
        <w:rPr>
          <w:sz w:val="24"/>
          <w:szCs w:val="24"/>
        </w:rPr>
        <w:t>ую п</w:t>
      </w:r>
      <w:r w:rsidRPr="001512B3">
        <w:rPr>
          <w:sz w:val="24"/>
          <w:szCs w:val="24"/>
        </w:rPr>
        <w:t>роволок</w:t>
      </w:r>
      <w:r>
        <w:rPr>
          <w:sz w:val="24"/>
          <w:szCs w:val="24"/>
        </w:rPr>
        <w:t>у</w:t>
      </w:r>
      <w:r w:rsidRPr="009D1ABA">
        <w:rPr>
          <w:sz w:val="24"/>
          <w:szCs w:val="24"/>
        </w:rPr>
        <w:t xml:space="preserve">  должны  быт</w:t>
      </w:r>
      <w:r w:rsidR="00B27159">
        <w:rPr>
          <w:sz w:val="24"/>
          <w:szCs w:val="24"/>
        </w:rPr>
        <w:t>ь  предоставлены  сертификаты.</w:t>
      </w:r>
      <w:r w:rsidRPr="009D1ABA">
        <w:rPr>
          <w:sz w:val="24"/>
          <w:szCs w:val="24"/>
        </w:rPr>
        <w:t xml:space="preserve"> </w:t>
      </w:r>
    </w:p>
    <w:p w:rsidR="004F4E9E" w:rsidRPr="00697DC5" w:rsidRDefault="009D1ABA" w:rsidP="009C038A">
      <w:pPr>
        <w:ind w:firstLine="709"/>
        <w:rPr>
          <w:sz w:val="24"/>
          <w:szCs w:val="24"/>
        </w:rPr>
      </w:pPr>
      <w:r w:rsidRPr="009D1ABA">
        <w:rPr>
          <w:sz w:val="24"/>
          <w:szCs w:val="24"/>
        </w:rPr>
        <w:t>Не предоставление сертификатов на поставляем</w:t>
      </w:r>
      <w:r w:rsidR="00764830">
        <w:rPr>
          <w:sz w:val="24"/>
          <w:szCs w:val="24"/>
        </w:rPr>
        <w:t>ую</w:t>
      </w:r>
      <w:r w:rsidRPr="009D1ABA">
        <w:rPr>
          <w:sz w:val="24"/>
          <w:szCs w:val="24"/>
        </w:rPr>
        <w:t xml:space="preserve"> </w:t>
      </w:r>
      <w:r w:rsidR="00764830" w:rsidRPr="001512B3">
        <w:rPr>
          <w:sz w:val="24"/>
          <w:szCs w:val="24"/>
        </w:rPr>
        <w:t>пломбировочн</w:t>
      </w:r>
      <w:r w:rsidR="00764830">
        <w:rPr>
          <w:sz w:val="24"/>
          <w:szCs w:val="24"/>
        </w:rPr>
        <w:t>ую п</w:t>
      </w:r>
      <w:r w:rsidR="00764830" w:rsidRPr="001512B3">
        <w:rPr>
          <w:sz w:val="24"/>
          <w:szCs w:val="24"/>
        </w:rPr>
        <w:t>роволок</w:t>
      </w:r>
      <w:r w:rsidR="00764830">
        <w:rPr>
          <w:sz w:val="24"/>
          <w:szCs w:val="24"/>
        </w:rPr>
        <w:t>у</w:t>
      </w:r>
      <w:r w:rsidRPr="009D1ABA">
        <w:rPr>
          <w:sz w:val="24"/>
          <w:szCs w:val="24"/>
        </w:rPr>
        <w:t xml:space="preserve"> </w:t>
      </w:r>
      <w:r w:rsidR="00764830" w:rsidRPr="009D1ABA">
        <w:rPr>
          <w:sz w:val="24"/>
          <w:szCs w:val="24"/>
        </w:rPr>
        <w:t>возможно</w:t>
      </w:r>
      <w:r w:rsidRPr="009D1ABA">
        <w:rPr>
          <w:sz w:val="24"/>
          <w:szCs w:val="24"/>
        </w:rPr>
        <w:t xml:space="preserve">  только в случае предоставления документов  подтверждающих,  что  сертификация  товара  не  предусмотрена  действующим законодательством Российской Федерации.</w:t>
      </w:r>
    </w:p>
    <w:p w:rsidR="009011C0" w:rsidRPr="00521472" w:rsidRDefault="009011C0" w:rsidP="009C038A">
      <w:pPr>
        <w:tabs>
          <w:tab w:val="left" w:pos="709"/>
          <w:tab w:val="left" w:pos="1560"/>
        </w:tabs>
        <w:ind w:firstLine="709"/>
        <w:rPr>
          <w:sz w:val="16"/>
          <w:szCs w:val="16"/>
        </w:rPr>
      </w:pPr>
    </w:p>
    <w:p w:rsidR="00612811" w:rsidRPr="00697DC5" w:rsidRDefault="00612811" w:rsidP="009C038A">
      <w:pPr>
        <w:pStyle w:val="ad"/>
        <w:numPr>
          <w:ilvl w:val="0"/>
          <w:numId w:val="3"/>
        </w:numPr>
        <w:tabs>
          <w:tab w:val="left" w:pos="1134"/>
        </w:tabs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Правила приемки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:rsidR="00612811" w:rsidRPr="00697DC5" w:rsidRDefault="003D7943" w:rsidP="009C038A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97DC5">
        <w:rPr>
          <w:szCs w:val="24"/>
        </w:rPr>
        <w:t xml:space="preserve">Каждая партия </w:t>
      </w:r>
      <w:r w:rsidR="00764830" w:rsidRPr="001512B3">
        <w:rPr>
          <w:szCs w:val="24"/>
        </w:rPr>
        <w:t>пломбировочн</w:t>
      </w:r>
      <w:r w:rsidR="00764830">
        <w:rPr>
          <w:szCs w:val="24"/>
        </w:rPr>
        <w:t>ой п</w:t>
      </w:r>
      <w:r w:rsidR="00764830" w:rsidRPr="001512B3">
        <w:rPr>
          <w:szCs w:val="24"/>
        </w:rPr>
        <w:t>роволок</w:t>
      </w:r>
      <w:r w:rsidR="00764830">
        <w:rPr>
          <w:szCs w:val="24"/>
        </w:rPr>
        <w:t>и</w:t>
      </w:r>
      <w:r w:rsidRPr="00697DC5">
        <w:rPr>
          <w:szCs w:val="24"/>
        </w:rPr>
        <w:t xml:space="preserve"> должна пройти</w:t>
      </w:r>
      <w:r w:rsidR="00612811" w:rsidRPr="00697DC5">
        <w:rPr>
          <w:szCs w:val="24"/>
        </w:rPr>
        <w:t xml:space="preserve"> входной контроль, осуществляемый представителями филиалов </w:t>
      </w:r>
      <w:r w:rsidR="00EB7AC9">
        <w:rPr>
          <w:szCs w:val="24"/>
        </w:rPr>
        <w:t>ПАО</w:t>
      </w:r>
      <w:r w:rsidR="00612811" w:rsidRPr="00697DC5">
        <w:rPr>
          <w:szCs w:val="24"/>
        </w:rPr>
        <w:t xml:space="preserve"> «МРСК Центра» и ответственными представителями Поставщика при получении </w:t>
      </w:r>
      <w:r w:rsidR="00CB23BB" w:rsidRPr="00697DC5">
        <w:rPr>
          <w:szCs w:val="24"/>
        </w:rPr>
        <w:t>их</w:t>
      </w:r>
      <w:r w:rsidR="00612811" w:rsidRPr="00697DC5">
        <w:rPr>
          <w:szCs w:val="24"/>
        </w:rPr>
        <w:t xml:space="preserve"> на склад.</w:t>
      </w:r>
    </w:p>
    <w:p w:rsidR="00612811" w:rsidRDefault="00612811" w:rsidP="009C038A">
      <w:pPr>
        <w:pStyle w:val="ad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A2857" w:rsidRDefault="001A2857" w:rsidP="009C038A">
      <w:pPr>
        <w:pStyle w:val="ad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</w:p>
    <w:p w:rsidR="001D6900" w:rsidRDefault="001D6900" w:rsidP="009C038A">
      <w:pPr>
        <w:rPr>
          <w:sz w:val="26"/>
          <w:szCs w:val="26"/>
        </w:rPr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9"/>
        <w:gridCol w:w="5221"/>
      </w:tblGrid>
      <w:tr w:rsidR="001A2857" w:rsidTr="00BC3B9A">
        <w:tc>
          <w:tcPr>
            <w:tcW w:w="5269" w:type="dxa"/>
          </w:tcPr>
          <w:p w:rsidR="001A2857" w:rsidRPr="00D14552" w:rsidRDefault="001A2857" w:rsidP="009C038A">
            <w:pPr>
              <w:ind w:firstLine="0"/>
              <w:rPr>
                <w:sz w:val="26"/>
                <w:szCs w:val="26"/>
              </w:rPr>
            </w:pPr>
            <w:r w:rsidRPr="00D14552">
              <w:rPr>
                <w:sz w:val="24"/>
                <w:szCs w:val="24"/>
              </w:rPr>
              <w:t>Начальник отдела ЭиРСУ УУЭЭ</w:t>
            </w:r>
          </w:p>
        </w:tc>
        <w:tc>
          <w:tcPr>
            <w:tcW w:w="5221" w:type="dxa"/>
          </w:tcPr>
          <w:p w:rsidR="001A2857" w:rsidRDefault="001A2857" w:rsidP="009C038A">
            <w:pPr>
              <w:ind w:firstLine="0"/>
              <w:jc w:val="right"/>
              <w:rPr>
                <w:sz w:val="26"/>
                <w:szCs w:val="26"/>
              </w:rPr>
            </w:pPr>
            <w:r w:rsidRPr="00D14552">
              <w:rPr>
                <w:sz w:val="26"/>
                <w:szCs w:val="26"/>
              </w:rPr>
              <w:t>Псарев Е.А.</w:t>
            </w:r>
          </w:p>
        </w:tc>
      </w:tr>
    </w:tbl>
    <w:p w:rsidR="008F73A3" w:rsidRPr="001A2857" w:rsidRDefault="008F73A3" w:rsidP="009C038A">
      <w:pPr>
        <w:tabs>
          <w:tab w:val="left" w:pos="0"/>
          <w:tab w:val="left" w:pos="1134"/>
        </w:tabs>
        <w:ind w:firstLine="0"/>
        <w:rPr>
          <w:sz w:val="24"/>
          <w:szCs w:val="24"/>
        </w:rPr>
      </w:pPr>
    </w:p>
    <w:sectPr w:rsidR="008F73A3" w:rsidRPr="001A2857" w:rsidSect="00521472">
      <w:headerReference w:type="even" r:id="rId11"/>
      <w:pgSz w:w="12240" w:h="15840" w:code="1"/>
      <w:pgMar w:top="737" w:right="567" w:bottom="73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DE1" w:rsidRDefault="00F55DE1">
      <w:r>
        <w:separator/>
      </w:r>
    </w:p>
  </w:endnote>
  <w:endnote w:type="continuationSeparator" w:id="0">
    <w:p w:rsidR="00F55DE1" w:rsidRDefault="00F55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DE1" w:rsidRDefault="00F55DE1">
      <w:r>
        <w:separator/>
      </w:r>
    </w:p>
  </w:footnote>
  <w:footnote w:type="continuationSeparator" w:id="0">
    <w:p w:rsidR="00F55DE1" w:rsidRDefault="00F55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048" w:rsidRDefault="00865C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5434E"/>
    <w:multiLevelType w:val="hybridMultilevel"/>
    <w:tmpl w:val="A934E47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30283BC2"/>
    <w:multiLevelType w:val="hybridMultilevel"/>
    <w:tmpl w:val="BC5CBB34"/>
    <w:lvl w:ilvl="0" w:tplc="43CE82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8F33A5C"/>
    <w:multiLevelType w:val="hybridMultilevel"/>
    <w:tmpl w:val="8020B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3"/>
  </w:num>
  <w:num w:numId="5">
    <w:abstractNumId w:val="12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8"/>
  </w:num>
  <w:num w:numId="13">
    <w:abstractNumId w:val="7"/>
  </w:num>
  <w:num w:numId="1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286"/>
    <w:rsid w:val="00032681"/>
    <w:rsid w:val="00033132"/>
    <w:rsid w:val="000359FF"/>
    <w:rsid w:val="0003660B"/>
    <w:rsid w:val="00036612"/>
    <w:rsid w:val="00036C46"/>
    <w:rsid w:val="00042404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774C9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62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30ED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A34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2B3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1904"/>
    <w:rsid w:val="00192E02"/>
    <w:rsid w:val="00195AEF"/>
    <w:rsid w:val="00195E7E"/>
    <w:rsid w:val="001962E5"/>
    <w:rsid w:val="0019658A"/>
    <w:rsid w:val="00196802"/>
    <w:rsid w:val="001A22A5"/>
    <w:rsid w:val="001A2829"/>
    <w:rsid w:val="001A2857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515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729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3CE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1415"/>
    <w:rsid w:val="002D352A"/>
    <w:rsid w:val="002D5C5F"/>
    <w:rsid w:val="002D5E88"/>
    <w:rsid w:val="002E18B5"/>
    <w:rsid w:val="002E18E0"/>
    <w:rsid w:val="002E22F4"/>
    <w:rsid w:val="002E28DF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6274"/>
    <w:rsid w:val="00317A80"/>
    <w:rsid w:val="00317B27"/>
    <w:rsid w:val="003201DB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004A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0F0E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5C4D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C7CE3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3C1"/>
    <w:rsid w:val="004F5B3B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6473"/>
    <w:rsid w:val="0051779A"/>
    <w:rsid w:val="00521472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67DAF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54E"/>
    <w:rsid w:val="005916D0"/>
    <w:rsid w:val="005925C1"/>
    <w:rsid w:val="00592704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1A7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0C06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732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266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09EA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363A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6EE8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830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47A7"/>
    <w:rsid w:val="007A4C15"/>
    <w:rsid w:val="007A535B"/>
    <w:rsid w:val="007B02F8"/>
    <w:rsid w:val="007B0386"/>
    <w:rsid w:val="007B072A"/>
    <w:rsid w:val="007B07DB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555F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5C2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6987"/>
    <w:rsid w:val="008E7072"/>
    <w:rsid w:val="008E78B7"/>
    <w:rsid w:val="008E7F56"/>
    <w:rsid w:val="008F0662"/>
    <w:rsid w:val="008F21BE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1C89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48EC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A7565"/>
    <w:rsid w:val="009B00E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038A"/>
    <w:rsid w:val="009C14FB"/>
    <w:rsid w:val="009C200B"/>
    <w:rsid w:val="009C4D0C"/>
    <w:rsid w:val="009C5F8F"/>
    <w:rsid w:val="009C6411"/>
    <w:rsid w:val="009C71C6"/>
    <w:rsid w:val="009C76B2"/>
    <w:rsid w:val="009D1ABA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7268"/>
    <w:rsid w:val="00A11828"/>
    <w:rsid w:val="00A1241A"/>
    <w:rsid w:val="00A1333A"/>
    <w:rsid w:val="00A13E50"/>
    <w:rsid w:val="00A145D0"/>
    <w:rsid w:val="00A1579C"/>
    <w:rsid w:val="00A16414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62F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24B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8D4"/>
    <w:rsid w:val="00B24C00"/>
    <w:rsid w:val="00B26C59"/>
    <w:rsid w:val="00B27159"/>
    <w:rsid w:val="00B31336"/>
    <w:rsid w:val="00B3141F"/>
    <w:rsid w:val="00B322C8"/>
    <w:rsid w:val="00B37632"/>
    <w:rsid w:val="00B4184D"/>
    <w:rsid w:val="00B42927"/>
    <w:rsid w:val="00B42BD5"/>
    <w:rsid w:val="00B43052"/>
    <w:rsid w:val="00B4318F"/>
    <w:rsid w:val="00B45886"/>
    <w:rsid w:val="00B45EAF"/>
    <w:rsid w:val="00B51EB6"/>
    <w:rsid w:val="00B54E2D"/>
    <w:rsid w:val="00B552DA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67E"/>
    <w:rsid w:val="00B85AF2"/>
    <w:rsid w:val="00B86AE5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3B9A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1C3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BF6337"/>
    <w:rsid w:val="00C01892"/>
    <w:rsid w:val="00C01B77"/>
    <w:rsid w:val="00C029BD"/>
    <w:rsid w:val="00C02AA0"/>
    <w:rsid w:val="00C036E8"/>
    <w:rsid w:val="00C05A80"/>
    <w:rsid w:val="00C07D2C"/>
    <w:rsid w:val="00C12368"/>
    <w:rsid w:val="00C12E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56C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493B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05F5"/>
    <w:rsid w:val="00CD3354"/>
    <w:rsid w:val="00CD48A1"/>
    <w:rsid w:val="00CD6602"/>
    <w:rsid w:val="00CD693A"/>
    <w:rsid w:val="00CD7961"/>
    <w:rsid w:val="00CD7C0C"/>
    <w:rsid w:val="00CD7F57"/>
    <w:rsid w:val="00CE1406"/>
    <w:rsid w:val="00CE1461"/>
    <w:rsid w:val="00CE186F"/>
    <w:rsid w:val="00CE2437"/>
    <w:rsid w:val="00CE6DA4"/>
    <w:rsid w:val="00CE6EB5"/>
    <w:rsid w:val="00CF0257"/>
    <w:rsid w:val="00CF0E1A"/>
    <w:rsid w:val="00CF22E0"/>
    <w:rsid w:val="00CF3815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4552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6F4D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6F8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2A4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AC9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078"/>
    <w:rsid w:val="00EF69C1"/>
    <w:rsid w:val="00EF6AE5"/>
    <w:rsid w:val="00F0098E"/>
    <w:rsid w:val="00F00AB0"/>
    <w:rsid w:val="00F03B68"/>
    <w:rsid w:val="00F0401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E63"/>
    <w:rsid w:val="00F46FBB"/>
    <w:rsid w:val="00F51529"/>
    <w:rsid w:val="00F525F8"/>
    <w:rsid w:val="00F54E4F"/>
    <w:rsid w:val="00F55DE1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0EC846-E7DE-4969-B380-153ACD0A8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Абзац списка Знак"/>
    <w:basedOn w:val="a1"/>
    <w:link w:val="ad"/>
    <w:uiPriority w:val="34"/>
    <w:rsid w:val="005C1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CAC64-0946-4949-930E-E533D43E902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59BEEDF1-90D2-4BFE-844E-8F0AC6CDA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457778-0A43-4382-93D3-DC1823F150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042880-C910-48D0-B9F1-C64F69499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Грачева Елена Сергеевна</cp:lastModifiedBy>
  <cp:revision>2</cp:revision>
  <cp:lastPrinted>2010-09-30T13:29:00Z</cp:lastPrinted>
  <dcterms:created xsi:type="dcterms:W3CDTF">2019-11-06T07:49:00Z</dcterms:created>
  <dcterms:modified xsi:type="dcterms:W3CDTF">2019-11-06T07:49:00Z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