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7969DE9C"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1003B5">
        <w:rPr>
          <w:b/>
          <w:noProof/>
          <w:kern w:val="36"/>
        </w:rPr>
        <w:t>6</w:t>
      </w:r>
      <w:r w:rsidR="00B75149">
        <w:rPr>
          <w:b/>
          <w:noProof/>
          <w:kern w:val="36"/>
        </w:rPr>
        <w:t>3</w:t>
      </w:r>
      <w:r w:rsidR="0062156B" w:rsidRPr="0019591F">
        <w:rPr>
          <w:b/>
          <w:noProof/>
          <w:kern w:val="36"/>
        </w:rPr>
        <w:t>- БЕ-22</w:t>
      </w:r>
    </w:p>
    <w:p w14:paraId="25099556" w14:textId="6070B9BF" w:rsidR="0040492C" w:rsidRPr="0019591F" w:rsidRDefault="0040492C" w:rsidP="0040492C">
      <w:pPr>
        <w:snapToGrid w:val="0"/>
        <w:spacing w:after="0" w:line="360" w:lineRule="auto"/>
        <w:ind w:left="5812"/>
        <w:rPr>
          <w:b/>
          <w:bCs/>
          <w:color w:val="000000"/>
        </w:rPr>
      </w:pPr>
      <w:r w:rsidRPr="0019591F">
        <w:rPr>
          <w:b/>
          <w:kern w:val="36"/>
        </w:rPr>
        <w:t>от «</w:t>
      </w:r>
      <w:r w:rsidR="001003B5">
        <w:rPr>
          <w:b/>
          <w:kern w:val="36"/>
        </w:rPr>
        <w:t>20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072D016F"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A82FFD" w:rsidRPr="003968E9">
        <w:t xml:space="preserve">шкафов управления наружным освещением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1E7F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1E7FC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1E7FC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1E7FC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A82FFD"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82FFD" w:rsidRPr="0019591F" w:rsidRDefault="00A82FFD" w:rsidP="00A82FF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82FFD" w:rsidRPr="0019591F" w:rsidRDefault="00A82FFD" w:rsidP="00A82FFD">
            <w:pPr>
              <w:widowControl w:val="0"/>
              <w:spacing w:after="0"/>
            </w:pPr>
            <w:r w:rsidRPr="0019591F">
              <w:fldChar w:fldCharType="begin"/>
            </w:r>
            <w:r w:rsidRPr="0019591F">
              <w:instrText xml:space="preserve"> REF _Ref166267341 \r \h  \* MERGEFORMAT </w:instrText>
            </w:r>
            <w:r w:rsidRPr="0019591F">
              <w:fldChar w:fldCharType="separate"/>
            </w:r>
            <w:r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A82FFD" w:rsidRPr="0019591F" w:rsidRDefault="00A82FFD" w:rsidP="00A82FFD">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E7AA91" w14:textId="77777777" w:rsidR="00A82FFD" w:rsidRPr="0019591F" w:rsidRDefault="00A82FFD" w:rsidP="00A82FFD">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1D876A4C" w14:textId="77777777" w:rsidR="00A82FFD" w:rsidRPr="0019591F" w:rsidRDefault="00A82FFD" w:rsidP="00A82FFD">
            <w:pPr>
              <w:widowControl w:val="0"/>
              <w:ind w:left="209" w:right="176"/>
            </w:pPr>
            <w:r w:rsidRPr="0019591F">
              <w:t>Место нахождения и почтовый адрес Заказчика:</w:t>
            </w:r>
          </w:p>
          <w:p w14:paraId="6F05B57B" w14:textId="77777777" w:rsidR="00A82FFD" w:rsidRPr="0019591F" w:rsidRDefault="00A82FFD" w:rsidP="00A82FFD">
            <w:pPr>
              <w:widowControl w:val="0"/>
              <w:ind w:left="209" w:right="176"/>
              <w:rPr>
                <w:iCs/>
              </w:rPr>
            </w:pPr>
            <w:r w:rsidRPr="0019591F">
              <w:rPr>
                <w:iCs/>
              </w:rPr>
              <w:t>РФ, 308000, г. Белгород, ул.Преображенская,42.</w:t>
            </w:r>
          </w:p>
          <w:p w14:paraId="491021A6" w14:textId="77777777" w:rsidR="00A82FFD" w:rsidRPr="0019591F" w:rsidRDefault="00A82FFD" w:rsidP="00A82FFD">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0AE7C1C9" w14:textId="77777777" w:rsidR="00A82FFD" w:rsidRPr="0019591F" w:rsidRDefault="00A82FFD" w:rsidP="00A82FFD">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80205BF" w14:textId="77777777" w:rsidR="00A82FFD" w:rsidRPr="0019591F" w:rsidRDefault="00A82FFD" w:rsidP="00A82FFD">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00A36667" w14:textId="77777777" w:rsidR="00A82FFD" w:rsidRPr="0019591F" w:rsidRDefault="00A82FFD" w:rsidP="00A82FFD">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179C3431" w:rsidR="00A82FFD" w:rsidRPr="0019591F" w:rsidRDefault="00A82FFD" w:rsidP="00A82FFD">
            <w:pPr>
              <w:widowControl w:val="0"/>
              <w:spacing w:after="0"/>
              <w:ind w:right="175"/>
            </w:pPr>
            <w:r w:rsidRPr="0019591F">
              <w:t xml:space="preserve">По вопросам, связанным с разъяснением </w:t>
            </w:r>
            <w:r w:rsidRPr="0057459F">
              <w:t xml:space="preserve">Начальник Департамента развития услуг и сервисов, взаимодействия с </w:t>
            </w:r>
            <w:proofErr w:type="gramStart"/>
            <w:r w:rsidRPr="0057459F">
              <w:t>клиентами  -</w:t>
            </w:r>
            <w:proofErr w:type="gramEnd"/>
            <w:r w:rsidRPr="0057459F">
              <w:t xml:space="preserve"> Чумаченко А.И. тел.: (4722) 30-45-66 </w:t>
            </w:r>
            <w:proofErr w:type="spellStart"/>
            <w:r w:rsidRPr="0057459F">
              <w:t>Email</w:t>
            </w:r>
            <w:proofErr w:type="spellEnd"/>
            <w:r w:rsidRPr="0057459F">
              <w:t xml:space="preserve">: </w:t>
            </w:r>
            <w:r w:rsidRPr="0046508A">
              <w:rPr>
                <w:rStyle w:val="aff7"/>
              </w:rPr>
              <w:t>Chumachenko.AI@mrsk-1.ru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lastRenderedPageBreak/>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3929BB0"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A82FFD" w:rsidRPr="003968E9">
              <w:t xml:space="preserve">шкафов управления наружным освещением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w:t>
            </w:r>
            <w:r w:rsidRPr="0019591F">
              <w:lastRenderedPageBreak/>
              <w:t xml:space="preserve">(Приложение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34FD795"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A82FFD" w:rsidRPr="00A82FFD">
              <w:rPr>
                <w:b/>
                <w:szCs w:val="24"/>
              </w:rPr>
              <w:t xml:space="preserve">657 419,00 </w:t>
            </w:r>
            <w:r w:rsidRPr="0019591F">
              <w:rPr>
                <w:szCs w:val="24"/>
              </w:rPr>
              <w:t>(</w:t>
            </w:r>
            <w:r w:rsidR="00A82FFD" w:rsidRPr="00A82FFD">
              <w:rPr>
                <w:szCs w:val="24"/>
              </w:rPr>
              <w:t>шестьсот пятьдесят семь тысяч четыреста девятнадцать</w:t>
            </w:r>
            <w:r w:rsidR="00A82FFD">
              <w:rPr>
                <w:szCs w:val="24"/>
              </w:rPr>
              <w:t>)</w:t>
            </w:r>
            <w:r w:rsidR="00A82FFD" w:rsidRPr="00A82FFD">
              <w:rPr>
                <w:szCs w:val="24"/>
              </w:rPr>
              <w:t xml:space="preserve"> рублей </w:t>
            </w:r>
            <w:bookmarkStart w:id="345" w:name="_GoBack"/>
            <w:bookmarkEnd w:id="345"/>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B75149">
              <w:rPr>
                <w:b/>
                <w:szCs w:val="24"/>
              </w:rPr>
              <w:t xml:space="preserve">                 </w:t>
            </w:r>
            <w:r w:rsidR="00BF3A6B" w:rsidRPr="00BF3A6B">
              <w:rPr>
                <w:b/>
                <w:szCs w:val="24"/>
              </w:rPr>
              <w:t xml:space="preserve"> </w:t>
            </w:r>
            <w:r w:rsidR="00A82FFD" w:rsidRPr="00A82FFD">
              <w:rPr>
                <w:b/>
                <w:szCs w:val="24"/>
              </w:rPr>
              <w:t xml:space="preserve">131 483,80 </w:t>
            </w:r>
            <w:r w:rsidRPr="0019591F">
              <w:rPr>
                <w:szCs w:val="24"/>
              </w:rPr>
              <w:t>(</w:t>
            </w:r>
            <w:r w:rsidR="00A82FFD" w:rsidRPr="00A82FFD">
              <w:rPr>
                <w:szCs w:val="24"/>
              </w:rPr>
              <w:t>сто тридцать одна тысяча четыреста восемьдесят три</w:t>
            </w:r>
            <w:r w:rsidR="00A82FFD">
              <w:rPr>
                <w:szCs w:val="24"/>
              </w:rPr>
              <w:t>)</w:t>
            </w:r>
            <w:r w:rsidR="00A82FFD" w:rsidRPr="00A82FFD">
              <w:rPr>
                <w:szCs w:val="24"/>
              </w:rPr>
              <w:t xml:space="preserve"> рубля </w:t>
            </w:r>
            <w:r w:rsidR="001003B5" w:rsidRPr="001003B5">
              <w:rPr>
                <w:szCs w:val="24"/>
              </w:rPr>
              <w:t xml:space="preserve"> </w:t>
            </w:r>
            <w:r w:rsidR="00B75149" w:rsidRPr="00B75149">
              <w:rPr>
                <w:szCs w:val="24"/>
              </w:rPr>
              <w:t xml:space="preserve"> </w:t>
            </w:r>
            <w:r w:rsidR="00A82FFD">
              <w:rPr>
                <w:szCs w:val="24"/>
              </w:rPr>
              <w:t>8</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A82FFD" w:rsidRPr="00A82FFD">
              <w:rPr>
                <w:b/>
                <w:szCs w:val="24"/>
              </w:rPr>
              <w:t xml:space="preserve">788 902,80 </w:t>
            </w:r>
            <w:r w:rsidRPr="0019591F">
              <w:rPr>
                <w:szCs w:val="24"/>
              </w:rPr>
              <w:t>(</w:t>
            </w:r>
            <w:r w:rsidR="00A82FFD" w:rsidRPr="00A82FFD">
              <w:rPr>
                <w:szCs w:val="24"/>
              </w:rPr>
              <w:t>семьсот восемьдесят восемь тысяч девятьсот два</w:t>
            </w:r>
            <w:r w:rsidR="00A82FFD">
              <w:rPr>
                <w:szCs w:val="24"/>
              </w:rPr>
              <w:t>)</w:t>
            </w:r>
            <w:r w:rsidR="00A82FFD" w:rsidRPr="00A82FFD">
              <w:rPr>
                <w:szCs w:val="24"/>
              </w:rPr>
              <w:t xml:space="preserve"> рубля </w:t>
            </w:r>
            <w:r w:rsidR="008301F1" w:rsidRPr="008301F1">
              <w:rPr>
                <w:szCs w:val="24"/>
              </w:rPr>
              <w:t xml:space="preserve"> </w:t>
            </w:r>
            <w:r w:rsidR="006A7B1B" w:rsidRPr="006A7B1B">
              <w:rPr>
                <w:szCs w:val="24"/>
              </w:rPr>
              <w:t xml:space="preserve"> </w:t>
            </w:r>
            <w:r w:rsidR="00A82FFD">
              <w:rPr>
                <w:szCs w:val="24"/>
              </w:rPr>
              <w:t>8</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7" w:name="_Ref441564579"/>
            <w:r w:rsidRPr="0019591F">
              <w:rPr>
                <w:iCs/>
              </w:rPr>
              <w:t xml:space="preserve">Форма и порядок оплаты: безналичный расчет, оплата производится </w:t>
            </w:r>
            <w:bookmarkEnd w:id="347"/>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w:t>
            </w:r>
            <w:r w:rsidRPr="0019591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lastRenderedPageBreak/>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198D0321"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sidR="001003B5">
              <w:rPr>
                <w:b/>
                <w:bCs/>
              </w:rPr>
              <w:t>22</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2F0D180F" w14:textId="29EE02AD" w:rsidR="00641E27" w:rsidRDefault="001E7FC0" w:rsidP="00641E27">
            <w:pPr>
              <w:widowControl w:val="0"/>
              <w:tabs>
                <w:tab w:val="left" w:pos="0"/>
              </w:tabs>
              <w:spacing w:after="0" w:line="264" w:lineRule="auto"/>
              <w:ind w:left="1134" w:right="175"/>
            </w:pPr>
            <w:r>
              <w:rPr>
                <w:b/>
              </w:rPr>
              <w:t xml:space="preserve">05 </w:t>
            </w:r>
            <w:r w:rsidR="00641E27">
              <w:rPr>
                <w:b/>
              </w:rPr>
              <w:t>ию</w:t>
            </w:r>
            <w:r>
              <w:rPr>
                <w:b/>
              </w:rPr>
              <w:t>л</w:t>
            </w:r>
            <w:r w:rsidR="00641E27">
              <w:rPr>
                <w:b/>
              </w:rPr>
              <w:t xml:space="preserve">я </w:t>
            </w:r>
            <w:r w:rsidR="00641E27">
              <w:rPr>
                <w:b/>
                <w:bCs/>
              </w:rPr>
              <w:t xml:space="preserve">2022 </w:t>
            </w:r>
            <w:r w:rsidR="00641E27">
              <w:rPr>
                <w:b/>
              </w:rPr>
              <w:t>года</w:t>
            </w:r>
            <w:r w:rsidR="00641E27">
              <w:t xml:space="preserve"> </w:t>
            </w:r>
            <w:r w:rsidR="00641E27">
              <w:rPr>
                <w:b/>
              </w:rPr>
              <w:t>12:00 (время московское)</w:t>
            </w:r>
            <w:r w:rsidR="00641E27">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491445EE"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1E7FC0">
              <w:rPr>
                <w:b/>
                <w:color w:val="auto"/>
              </w:rPr>
              <w:t>11</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4355CCAB"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1E7FC0">
              <w:rPr>
                <w:b/>
              </w:rPr>
              <w:t>13</w:t>
            </w:r>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4F1E9C"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1E7FC0">
              <w:rPr>
                <w:b/>
              </w:rPr>
              <w:t>30</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w:t>
            </w:r>
            <w:r w:rsidRPr="0019591F">
              <w:rPr>
                <w:bCs/>
              </w:rPr>
              <w:lastRenderedPageBreak/>
              <w:t>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lastRenderedPageBreak/>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w:t>
            </w:r>
            <w:r w:rsidRPr="0019591F">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w:t>
            </w:r>
            <w:r w:rsidRPr="0019591F">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w:t>
            </w:r>
            <w:r w:rsidRPr="0019591F">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 xml:space="preserve">«ИНФОРМАЦИОННАЯ </w:t>
            </w:r>
            <w:r w:rsidRPr="0019591F">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19591F">
              <w:rPr>
                <w:rFonts w:ascii="Times New Roman CYR" w:hAnsi="Times New Roman CYR" w:cs="Times New Roman CYR"/>
              </w:rPr>
              <w:lastRenderedPageBreak/>
              <w:t>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19591F">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 xml:space="preserve">«ИНФОРМАЦИОННАЯ КАРТА </w:t>
            </w:r>
            <w:r w:rsidR="00DD7DE5" w:rsidRPr="0019591F">
              <w:rPr>
                <w:bCs/>
              </w:rPr>
              <w:lastRenderedPageBreak/>
              <w:t>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64F45" w14:textId="77777777" w:rsidR="009A5E87" w:rsidRDefault="009A5E87">
      <w:r>
        <w:separator/>
      </w:r>
    </w:p>
    <w:p w14:paraId="059BF631" w14:textId="77777777" w:rsidR="009A5E87" w:rsidRDefault="009A5E87"/>
  </w:endnote>
  <w:endnote w:type="continuationSeparator" w:id="0">
    <w:p w14:paraId="01B1B35B" w14:textId="77777777" w:rsidR="009A5E87" w:rsidRDefault="009A5E87">
      <w:r>
        <w:continuationSeparator/>
      </w:r>
    </w:p>
    <w:p w14:paraId="193A609C" w14:textId="77777777" w:rsidR="009A5E87" w:rsidRDefault="009A5E87"/>
  </w:endnote>
  <w:endnote w:type="continuationNotice" w:id="1">
    <w:p w14:paraId="5B342EF6" w14:textId="77777777" w:rsidR="009A5E87" w:rsidRDefault="009A5E8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E7FC0" w:rsidRPr="00FA0376" w:rsidRDefault="001E7FC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E7FC0" w:rsidRPr="00902488" w:rsidRDefault="001E7FC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1E7FC0" w:rsidRPr="00401A97" w:rsidRDefault="001E7FC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1E7FC0" w:rsidRPr="00401A97" w:rsidRDefault="001E7FC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D30FE7A" w:rsidR="001E7FC0" w:rsidRPr="00401A97" w:rsidRDefault="001E7FC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 xml:space="preserve">Договора на поставку </w:t>
            </w:r>
            <w:r w:rsidRPr="00A82FFD">
              <w:rPr>
                <w:bCs/>
                <w:sz w:val="16"/>
                <w:szCs w:val="16"/>
              </w:rPr>
              <w:t xml:space="preserve">шкафов управления наружным освещением </w:t>
            </w:r>
            <w:r w:rsidRPr="00BF3A6B">
              <w:rPr>
                <w:bCs/>
                <w:sz w:val="16"/>
                <w:szCs w:val="16"/>
              </w:rPr>
              <w:t>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608A5" w14:textId="77777777" w:rsidR="009A5E87" w:rsidRDefault="009A5E87">
      <w:r>
        <w:separator/>
      </w:r>
    </w:p>
    <w:p w14:paraId="3906757D" w14:textId="77777777" w:rsidR="009A5E87" w:rsidRDefault="009A5E87"/>
  </w:footnote>
  <w:footnote w:type="continuationSeparator" w:id="0">
    <w:p w14:paraId="786BA616" w14:textId="77777777" w:rsidR="009A5E87" w:rsidRDefault="009A5E87">
      <w:r>
        <w:continuationSeparator/>
      </w:r>
    </w:p>
    <w:p w14:paraId="54CF9579" w14:textId="77777777" w:rsidR="009A5E87" w:rsidRDefault="009A5E87"/>
  </w:footnote>
  <w:footnote w:type="continuationNotice" w:id="1">
    <w:p w14:paraId="13A57906" w14:textId="77777777" w:rsidR="009A5E87" w:rsidRDefault="009A5E8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E7FC0" w:rsidRPr="00401A97" w:rsidRDefault="001E7FC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E7FC0" w:rsidRPr="003C47E7" w:rsidRDefault="001E7FC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3B5"/>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E7FC0"/>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19F"/>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24B3"/>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3A47"/>
    <w:rsid w:val="00664750"/>
    <w:rsid w:val="006654A5"/>
    <w:rsid w:val="00665F29"/>
    <w:rsid w:val="0066659B"/>
    <w:rsid w:val="0066693B"/>
    <w:rsid w:val="006674F1"/>
    <w:rsid w:val="00667C11"/>
    <w:rsid w:val="006704B9"/>
    <w:rsid w:val="00670C13"/>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4FC2"/>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56"/>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87"/>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F42"/>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2FFD"/>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149"/>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A0C27-17DA-441C-ADAD-ED5896445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45</Pages>
  <Words>19745</Words>
  <Characters>112553</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55</cp:revision>
  <cp:lastPrinted>2019-01-16T10:14:00Z</cp:lastPrinted>
  <dcterms:created xsi:type="dcterms:W3CDTF">2021-08-17T06:47:00Z</dcterms:created>
  <dcterms:modified xsi:type="dcterms:W3CDTF">2022-06-28T08:02:00Z</dcterms:modified>
</cp:coreProperties>
</file>