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921E7D">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921E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921E7D">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921E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921E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6C87BEA2"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351494">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0D5C8ADA" w:rsidR="00562DB8" w:rsidRPr="00545F71" w:rsidRDefault="00351494" w:rsidP="00166099">
            <w:pPr>
              <w:widowControl w:val="0"/>
              <w:tabs>
                <w:tab w:val="left" w:pos="0"/>
              </w:tabs>
              <w:spacing w:after="0" w:line="264" w:lineRule="auto"/>
              <w:ind w:left="1134" w:right="175"/>
            </w:pPr>
            <w:proofErr w:type="gramStart"/>
            <w:r>
              <w:rPr>
                <w:b/>
              </w:rPr>
              <w:t>10</w:t>
            </w:r>
            <w:r w:rsidR="00256B8B" w:rsidRPr="00545F71">
              <w:rPr>
                <w:b/>
              </w:rPr>
              <w:t xml:space="preserve"> </w:t>
            </w:r>
            <w:r w:rsidR="00562DB8" w:rsidRPr="00545F71">
              <w:rPr>
                <w:b/>
              </w:rPr>
              <w:t xml:space="preserve"> </w:t>
            </w:r>
            <w:r>
              <w:rPr>
                <w:b/>
              </w:rPr>
              <w:t>января</w:t>
            </w:r>
            <w:proofErr w:type="gramEnd"/>
            <w:r>
              <w:rPr>
                <w:b/>
              </w:rPr>
              <w:t xml:space="preserve"> </w:t>
            </w:r>
            <w:r w:rsidR="002B792C" w:rsidRPr="00545F71">
              <w:rPr>
                <w:b/>
                <w:bCs/>
              </w:rPr>
              <w:t>202</w:t>
            </w:r>
            <w:r>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081F0EBB"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351494">
              <w:rPr>
                <w:b/>
                <w:color w:val="auto"/>
              </w:rPr>
              <w:t xml:space="preserve">16 </w:t>
            </w:r>
            <w:r w:rsidRPr="00545F71">
              <w:rPr>
                <w:b/>
                <w:color w:val="auto"/>
              </w:rPr>
              <w:t xml:space="preserve"> </w:t>
            </w:r>
            <w:r w:rsidR="00351494">
              <w:rPr>
                <w:b/>
                <w:color w:val="auto"/>
              </w:rPr>
              <w:t>января</w:t>
            </w:r>
            <w:r w:rsidRPr="00545F71">
              <w:rPr>
                <w:b/>
                <w:color w:val="auto"/>
              </w:rPr>
              <w:t xml:space="preserve"> </w:t>
            </w:r>
            <w:r w:rsidR="002B792C" w:rsidRPr="00545F71">
              <w:rPr>
                <w:b/>
                <w:bCs/>
              </w:rPr>
              <w:lastRenderedPageBreak/>
              <w:t>202</w:t>
            </w:r>
            <w:r w:rsidR="00921E7D">
              <w:rPr>
                <w:b/>
                <w:bCs/>
              </w:rPr>
              <w:t>3</w:t>
            </w:r>
            <w:bookmarkStart w:id="325" w:name="_GoBack"/>
            <w:bookmarkEnd w:id="325"/>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2EDD23B4"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proofErr w:type="gramStart"/>
            <w:r w:rsidR="00351494">
              <w:rPr>
                <w:b/>
                <w:color w:val="auto"/>
              </w:rPr>
              <w:t xml:space="preserve">17 </w:t>
            </w:r>
            <w:r w:rsidRPr="00545F71">
              <w:rPr>
                <w:b/>
                <w:color w:val="auto"/>
              </w:rPr>
              <w:t xml:space="preserve"> </w:t>
            </w:r>
            <w:r w:rsidR="00351494">
              <w:rPr>
                <w:b/>
                <w:color w:val="auto"/>
              </w:rPr>
              <w:t>января</w:t>
            </w:r>
            <w:proofErr w:type="gramEnd"/>
            <w:r w:rsidR="00351494">
              <w:rPr>
                <w:b/>
                <w:color w:val="auto"/>
              </w:rPr>
              <w:t xml:space="preserve"> </w:t>
            </w:r>
            <w:r w:rsidRPr="00545F71">
              <w:rPr>
                <w:b/>
                <w:color w:val="auto"/>
              </w:rPr>
              <w:t xml:space="preserve"> </w:t>
            </w:r>
            <w:r w:rsidR="002B792C" w:rsidRPr="00545F71">
              <w:rPr>
                <w:b/>
                <w:bCs/>
              </w:rPr>
              <w:t>202</w:t>
            </w:r>
            <w:r w:rsidR="00351494">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12B07BB8"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351494">
              <w:rPr>
                <w:b/>
              </w:rPr>
              <w:t>17</w:t>
            </w:r>
            <w:r w:rsidR="000F60EC" w:rsidRPr="00545F71">
              <w:rPr>
                <w:b/>
              </w:rPr>
              <w:t xml:space="preserve"> </w:t>
            </w:r>
            <w:proofErr w:type="gramStart"/>
            <w:r w:rsidR="00351494">
              <w:rPr>
                <w:b/>
              </w:rPr>
              <w:t xml:space="preserve">января </w:t>
            </w:r>
            <w:r w:rsidR="000F60EC" w:rsidRPr="00545F71">
              <w:rPr>
                <w:b/>
              </w:rPr>
              <w:t xml:space="preserve"> </w:t>
            </w:r>
            <w:r w:rsidR="002B792C" w:rsidRPr="00545F71">
              <w:rPr>
                <w:b/>
                <w:bCs/>
              </w:rPr>
              <w:t>202</w:t>
            </w:r>
            <w:r w:rsidR="00351494">
              <w:rPr>
                <w:b/>
                <w:bCs/>
              </w:rPr>
              <w:t>3</w:t>
            </w:r>
            <w:proofErr w:type="gramEnd"/>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5577CC58"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proofErr w:type="gramStart"/>
            <w:r w:rsidR="00351494">
              <w:rPr>
                <w:b/>
              </w:rPr>
              <w:t xml:space="preserve">18 </w:t>
            </w:r>
            <w:r w:rsidR="004D50C9">
              <w:rPr>
                <w:b/>
              </w:rPr>
              <w:t xml:space="preserve"> </w:t>
            </w:r>
            <w:r w:rsidR="00351494">
              <w:rPr>
                <w:b/>
              </w:rPr>
              <w:t>января</w:t>
            </w:r>
            <w:proofErr w:type="gramEnd"/>
            <w:r w:rsidR="00351494">
              <w:rPr>
                <w:b/>
              </w:rPr>
              <w:t xml:space="preserve"> </w:t>
            </w:r>
            <w:r w:rsidRPr="00545F71">
              <w:rPr>
                <w:b/>
              </w:rPr>
              <w:t xml:space="preserve"> </w:t>
            </w:r>
            <w:r w:rsidR="002B792C" w:rsidRPr="00545F71">
              <w:rPr>
                <w:b/>
                <w:bCs/>
              </w:rPr>
              <w:t>202</w:t>
            </w:r>
            <w:r w:rsidR="00351494">
              <w:rPr>
                <w:b/>
                <w:bCs/>
              </w:rPr>
              <w:t>3</w:t>
            </w:r>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45B037B9"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351494">
              <w:rPr>
                <w:b/>
              </w:rPr>
              <w:t>18</w:t>
            </w:r>
            <w:r w:rsidR="00256B8B" w:rsidRPr="00545F71">
              <w:rPr>
                <w:b/>
              </w:rPr>
              <w:t xml:space="preserve"> </w:t>
            </w:r>
            <w:r w:rsidR="00310993" w:rsidRPr="00545F71">
              <w:rPr>
                <w:b/>
              </w:rPr>
              <w:t xml:space="preserve"> </w:t>
            </w:r>
            <w:r w:rsidR="00351494">
              <w:rPr>
                <w:b/>
              </w:rPr>
              <w:t>января</w:t>
            </w:r>
            <w:proofErr w:type="gramEnd"/>
            <w:r w:rsidR="00351494">
              <w:rPr>
                <w:b/>
              </w:rPr>
              <w:t xml:space="preserve"> </w:t>
            </w:r>
            <w:r w:rsidR="00310993" w:rsidRPr="00545F71">
              <w:rPr>
                <w:b/>
              </w:rPr>
              <w:t xml:space="preserve"> </w:t>
            </w:r>
            <w:r w:rsidR="002B792C" w:rsidRPr="00545F71">
              <w:rPr>
                <w:b/>
                <w:bCs/>
              </w:rPr>
              <w:t>202</w:t>
            </w:r>
            <w:r w:rsidR="00351494">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5534"/>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63949A"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r w:rsidR="00351494">
              <w:rPr>
                <w:b/>
              </w:rPr>
              <w:t>29</w:t>
            </w:r>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A9B44" w14:textId="77777777" w:rsidR="00D05050" w:rsidRDefault="00D05050">
      <w:r>
        <w:separator/>
      </w:r>
    </w:p>
    <w:p w14:paraId="09734C5C" w14:textId="77777777" w:rsidR="00D05050" w:rsidRDefault="00D05050"/>
  </w:endnote>
  <w:endnote w:type="continuationSeparator" w:id="0">
    <w:p w14:paraId="1FCDAD42" w14:textId="77777777" w:rsidR="00D05050" w:rsidRDefault="00D05050">
      <w:r>
        <w:continuationSeparator/>
      </w:r>
    </w:p>
    <w:p w14:paraId="307C6FA1" w14:textId="77777777" w:rsidR="00D05050" w:rsidRDefault="00D05050"/>
  </w:endnote>
  <w:endnote w:type="continuationNotice" w:id="1">
    <w:p w14:paraId="3413EF28" w14:textId="77777777" w:rsidR="00D05050" w:rsidRDefault="00D050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21E7D" w:rsidRPr="00902488" w:rsidRDefault="00921E7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A7548D7" w:rsidR="00921E7D" w:rsidRPr="003515D9" w:rsidRDefault="00921E7D"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921E7D" w:rsidRPr="003515D9" w:rsidRDefault="00921E7D"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921E7D" w:rsidRPr="00401A97" w:rsidRDefault="00921E7D"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FCD44" w14:textId="77777777" w:rsidR="00D05050" w:rsidRDefault="00D05050">
      <w:r>
        <w:separator/>
      </w:r>
    </w:p>
    <w:p w14:paraId="73328A0F" w14:textId="77777777" w:rsidR="00D05050" w:rsidRDefault="00D05050"/>
  </w:footnote>
  <w:footnote w:type="continuationSeparator" w:id="0">
    <w:p w14:paraId="693E7092" w14:textId="77777777" w:rsidR="00D05050" w:rsidRDefault="00D05050">
      <w:r>
        <w:continuationSeparator/>
      </w:r>
    </w:p>
    <w:p w14:paraId="1B7186E7" w14:textId="77777777" w:rsidR="00D05050" w:rsidRDefault="00D05050"/>
  </w:footnote>
  <w:footnote w:type="continuationNotice" w:id="1">
    <w:p w14:paraId="5B8747A4" w14:textId="77777777" w:rsidR="00D05050" w:rsidRDefault="00D050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21E7D" w:rsidRPr="00401A97" w:rsidRDefault="00921E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21E7D" w:rsidRPr="003C47E7" w:rsidRDefault="00921E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94"/>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E7D"/>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050"/>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43FE"/>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697B2-283A-4791-BF0E-8C077C497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47</Pages>
  <Words>20751</Words>
  <Characters>118281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81</cp:revision>
  <cp:lastPrinted>2020-05-15T12:55:00Z</cp:lastPrinted>
  <dcterms:created xsi:type="dcterms:W3CDTF">2022-01-24T07:08:00Z</dcterms:created>
  <dcterms:modified xsi:type="dcterms:W3CDTF">2022-12-22T07:57:00Z</dcterms:modified>
</cp:coreProperties>
</file>