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27BE46C"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984F43">
        <w:t xml:space="preserve">поставку </w:t>
      </w:r>
      <w:r w:rsidR="006D45E4" w:rsidRPr="006D45E4">
        <w:rPr>
          <w:color w:val="000000"/>
        </w:rPr>
        <w:t>брендированной продукции с логотипом филиала</w:t>
      </w:r>
      <w:r w:rsidR="003B14CF" w:rsidRPr="003B14CF">
        <w:rPr>
          <w:color w:val="000000"/>
        </w:rPr>
        <w:t xml:space="preserve"> </w:t>
      </w:r>
      <w:r w:rsidR="00C67DF4" w:rsidRPr="00984F43">
        <w:t>для нужд ПАО «МРСК Центра» (филиала</w:t>
      </w:r>
      <w:r w:rsidR="00C67DF4" w:rsidRPr="00C67DF4">
        <w:t xml:space="preserve">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5D55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5D55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5D55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5D55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5D55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5D55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5D55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5D55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5D55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5D555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5D55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5D555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5D555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5D555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5D555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адрес 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DD27CAE"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6D45E4" w:rsidRPr="006D45E4">
              <w:rPr>
                <w:iCs/>
                <w:sz w:val="22"/>
                <w:szCs w:val="22"/>
              </w:rPr>
              <w:t>брендированной продукции с логотипом филиала</w:t>
            </w:r>
            <w:r w:rsidR="003B14CF" w:rsidRPr="003B14CF">
              <w:rPr>
                <w:iCs/>
                <w:sz w:val="22"/>
                <w:szCs w:val="22"/>
              </w:rPr>
              <w:t xml:space="preserve">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39F4D6F"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6D45E4" w:rsidRPr="006336DB">
              <w:rPr>
                <w:sz w:val="22"/>
                <w:szCs w:val="22"/>
              </w:rPr>
              <w:t>не позднее 21 дня с даты заключения договора</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7D9C71E" w:rsidR="009640B6" w:rsidRDefault="009640B6" w:rsidP="0046526D">
            <w:pPr>
              <w:pStyle w:val="Times12"/>
              <w:widowControl w:val="0"/>
              <w:tabs>
                <w:tab w:val="num" w:pos="1620"/>
              </w:tabs>
              <w:ind w:firstLine="0"/>
              <w:rPr>
                <w:sz w:val="22"/>
              </w:rPr>
            </w:pPr>
            <w:r w:rsidRPr="0046526D">
              <w:rPr>
                <w:b/>
                <w:bCs w:val="0"/>
                <w:sz w:val="22"/>
                <w:u w:val="single"/>
              </w:rPr>
              <w:t>По Лоту №1:</w:t>
            </w:r>
            <w:r w:rsidRPr="0046526D">
              <w:rPr>
                <w:bCs w:val="0"/>
                <w:sz w:val="22"/>
              </w:rPr>
              <w:t xml:space="preserve"> </w:t>
            </w:r>
            <w:r w:rsidR="006D45E4" w:rsidRPr="006336DB">
              <w:rPr>
                <w:b/>
                <w:sz w:val="22"/>
              </w:rPr>
              <w:t xml:space="preserve">497 805 </w:t>
            </w:r>
            <w:r w:rsidR="006D45E4" w:rsidRPr="007A2106">
              <w:rPr>
                <w:sz w:val="22"/>
              </w:rPr>
              <w:t>(</w:t>
            </w:r>
            <w:r w:rsidR="006D45E4">
              <w:rPr>
                <w:sz w:val="22"/>
              </w:rPr>
              <w:t>четыреста девяносто семь тысяч восемьсот пять</w:t>
            </w:r>
            <w:r w:rsidR="006D45E4" w:rsidRPr="007A2106">
              <w:rPr>
                <w:sz w:val="22"/>
              </w:rPr>
              <w:t>) рубл</w:t>
            </w:r>
            <w:r w:rsidR="006D45E4">
              <w:rPr>
                <w:sz w:val="22"/>
              </w:rPr>
              <w:t>ей</w:t>
            </w:r>
            <w:r w:rsidR="006D45E4" w:rsidRPr="007A2106">
              <w:rPr>
                <w:sz w:val="22"/>
              </w:rPr>
              <w:t xml:space="preserve"> 00 копеек РФ, без учета НДС; НДС </w:t>
            </w:r>
            <w:r w:rsidR="006D45E4" w:rsidRPr="006336DB">
              <w:rPr>
                <w:b/>
                <w:sz w:val="22"/>
              </w:rPr>
              <w:t xml:space="preserve">99 561 </w:t>
            </w:r>
            <w:r w:rsidR="006D45E4" w:rsidRPr="007A2106">
              <w:rPr>
                <w:sz w:val="22"/>
              </w:rPr>
              <w:t>(</w:t>
            </w:r>
            <w:r w:rsidR="006D45E4">
              <w:rPr>
                <w:sz w:val="22"/>
              </w:rPr>
              <w:t>девяносто девять тысяч пятьсот шестьдесят один</w:t>
            </w:r>
            <w:r w:rsidR="006D45E4" w:rsidRPr="007A2106">
              <w:rPr>
                <w:sz w:val="22"/>
              </w:rPr>
              <w:t>) рубл</w:t>
            </w:r>
            <w:r w:rsidR="006D45E4">
              <w:rPr>
                <w:sz w:val="22"/>
              </w:rPr>
              <w:t>ь</w:t>
            </w:r>
            <w:r w:rsidR="006D45E4" w:rsidRPr="007A2106">
              <w:rPr>
                <w:sz w:val="22"/>
              </w:rPr>
              <w:t xml:space="preserve"> </w:t>
            </w:r>
            <w:r w:rsidR="006D45E4">
              <w:rPr>
                <w:sz w:val="22"/>
              </w:rPr>
              <w:t>0</w:t>
            </w:r>
            <w:r w:rsidR="006D45E4" w:rsidRPr="007A2106">
              <w:rPr>
                <w:sz w:val="22"/>
              </w:rPr>
              <w:t xml:space="preserve">0 копеек РФ; </w:t>
            </w:r>
            <w:r w:rsidR="006D45E4" w:rsidRPr="006336DB">
              <w:rPr>
                <w:b/>
                <w:sz w:val="22"/>
              </w:rPr>
              <w:t xml:space="preserve">597 366 </w:t>
            </w:r>
            <w:r w:rsidR="006D45E4" w:rsidRPr="007A2106">
              <w:rPr>
                <w:sz w:val="22"/>
              </w:rPr>
              <w:t>(</w:t>
            </w:r>
            <w:r w:rsidR="006D45E4">
              <w:rPr>
                <w:sz w:val="22"/>
              </w:rPr>
              <w:t>пятьсот девяносто семь тысяч триста шестьдесят шесть</w:t>
            </w:r>
            <w:r w:rsidR="006D45E4" w:rsidRPr="007A2106">
              <w:rPr>
                <w:sz w:val="22"/>
              </w:rPr>
              <w:t>) рубл</w:t>
            </w:r>
            <w:r w:rsidR="006D45E4">
              <w:rPr>
                <w:sz w:val="22"/>
              </w:rPr>
              <w:t>ей</w:t>
            </w:r>
            <w:r w:rsidR="006D45E4" w:rsidRPr="007A2106">
              <w:rPr>
                <w:sz w:val="22"/>
              </w:rPr>
              <w:t xml:space="preserve"> </w:t>
            </w:r>
            <w:r w:rsidR="006D45E4">
              <w:rPr>
                <w:sz w:val="22"/>
              </w:rPr>
              <w:t>0</w:t>
            </w:r>
            <w:r w:rsidR="006D45E4"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77D180F2"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6D45E4">
              <w:rPr>
                <w:b/>
                <w:bCs/>
                <w:sz w:val="22"/>
                <w:szCs w:val="22"/>
              </w:rPr>
              <w:t>25 ноября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2C903CB0" w:rsidR="00562DB8" w:rsidRPr="0046526D" w:rsidRDefault="006D45E4" w:rsidP="0046526D">
            <w:pPr>
              <w:widowControl w:val="0"/>
              <w:tabs>
                <w:tab w:val="left" w:pos="147"/>
                <w:tab w:val="left" w:pos="714"/>
              </w:tabs>
              <w:spacing w:after="0"/>
              <w:rPr>
                <w:sz w:val="22"/>
                <w:szCs w:val="22"/>
              </w:rPr>
            </w:pPr>
            <w:r>
              <w:rPr>
                <w:b/>
                <w:sz w:val="22"/>
                <w:szCs w:val="22"/>
              </w:rPr>
              <w:t>0</w:t>
            </w:r>
            <w:r w:rsidR="00C15329">
              <w:rPr>
                <w:b/>
                <w:sz w:val="22"/>
                <w:szCs w:val="22"/>
              </w:rPr>
              <w:t>8</w:t>
            </w:r>
            <w:r>
              <w:rPr>
                <w:b/>
                <w:sz w:val="22"/>
                <w:szCs w:val="22"/>
              </w:rPr>
              <w:t xml:space="preserve">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309C1747"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C15329">
              <w:rPr>
                <w:color w:val="auto"/>
                <w:sz w:val="22"/>
                <w:szCs w:val="22"/>
              </w:rPr>
              <w:t>11</w:t>
            </w:r>
            <w:r w:rsidR="006D45E4">
              <w:rPr>
                <w:b/>
                <w:color w:val="auto"/>
                <w:sz w:val="22"/>
                <w:szCs w:val="22"/>
              </w:rPr>
              <w:t xml:space="preserve"> декабря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6A4CD85A"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6D45E4">
              <w:rPr>
                <w:b/>
                <w:sz w:val="22"/>
                <w:szCs w:val="22"/>
              </w:rPr>
              <w:t>1</w:t>
            </w:r>
            <w:r w:rsidR="005D5550">
              <w:rPr>
                <w:b/>
                <w:sz w:val="22"/>
                <w:szCs w:val="22"/>
              </w:rPr>
              <w:t>4</w:t>
            </w:r>
            <w:r w:rsidR="006D45E4">
              <w:rPr>
                <w:b/>
                <w:sz w:val="22"/>
                <w:szCs w:val="22"/>
              </w:rPr>
              <w:t xml:space="preserve">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0DFE6EAC"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6D45E4">
              <w:rPr>
                <w:b/>
                <w:sz w:val="22"/>
                <w:szCs w:val="22"/>
              </w:rPr>
              <w:t>1</w:t>
            </w:r>
            <w:r w:rsidR="005D5550">
              <w:rPr>
                <w:b/>
                <w:sz w:val="22"/>
                <w:szCs w:val="22"/>
              </w:rPr>
              <w:t>5</w:t>
            </w:r>
            <w:bookmarkStart w:id="314" w:name="_GoBack"/>
            <w:bookmarkEnd w:id="314"/>
            <w:r w:rsidR="006D45E4">
              <w:rPr>
                <w:b/>
                <w:sz w:val="22"/>
                <w:szCs w:val="22"/>
              </w:rPr>
              <w:t xml:space="preserve">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0108D8FB" w14:textId="77777777" w:rsidR="00562DB8" w:rsidRPr="0046526D" w:rsidRDefault="00562DB8" w:rsidP="0046526D">
            <w:pPr>
              <w:pStyle w:val="Default"/>
              <w:widowControl w:val="0"/>
              <w:jc w:val="both"/>
              <w:rPr>
                <w:color w:val="auto"/>
                <w:sz w:val="22"/>
                <w:szCs w:val="22"/>
              </w:rPr>
            </w:pP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81B6C19" w:rsidR="00205740" w:rsidRPr="0046526D" w:rsidRDefault="00205740" w:rsidP="002E4377">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984F43">
              <w:rPr>
                <w:b/>
                <w:sz w:val="22"/>
                <w:szCs w:val="22"/>
              </w:rPr>
              <w:t xml:space="preserve">30 </w:t>
            </w:r>
            <w:r w:rsidR="002E4377">
              <w:rPr>
                <w:b/>
                <w:sz w:val="22"/>
                <w:szCs w:val="22"/>
              </w:rPr>
              <w:t>но</w:t>
            </w:r>
            <w:r w:rsidR="00984F43">
              <w:rPr>
                <w:b/>
                <w:sz w:val="22"/>
                <w:szCs w:val="22"/>
              </w:rPr>
              <w:t>ября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1C59658"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6D45E4">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7DF4" w:rsidRPr="00902488" w:rsidRDefault="00C67DF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A370B50"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D5550">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D5550">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5AB2BA9"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6D45E4" w:rsidRPr="006D45E4">
              <w:rPr>
                <w:sz w:val="16"/>
                <w:szCs w:val="16"/>
              </w:rPr>
              <w:t>брендированной продукции с логотипом филиала</w:t>
            </w:r>
            <w:r w:rsidR="003B14CF" w:rsidRPr="003B14CF">
              <w:rPr>
                <w:sz w:val="16"/>
                <w:szCs w:val="16"/>
              </w:rPr>
              <w:t xml:space="preserve">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isplayBackgroundShape/>
  <w:embedSystemFonts/>
  <w:defaultTabStop w:val="709"/>
  <w:doNotHyphenateCaps/>
  <w:characterSpacingControl w:val="doNotCompress"/>
  <w:doNotValidateAgainstSchema/>
  <w:doNotDemarcateInvalidXml/>
  <w:hdrShapeDefaults>
    <o:shapedefaults v:ext="edit" spidmax="3481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1CE"/>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377"/>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4CF"/>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A5D"/>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1735"/>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550"/>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5E4"/>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F43"/>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329"/>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628A04-CC76-4AC0-AB76-7774E234E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44</Pages>
  <Words>19945</Words>
  <Characters>113692</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155</cp:revision>
  <cp:lastPrinted>2019-01-16T10:14:00Z</cp:lastPrinted>
  <dcterms:created xsi:type="dcterms:W3CDTF">2019-02-11T09:09:00Z</dcterms:created>
  <dcterms:modified xsi:type="dcterms:W3CDTF">2020-12-02T06:31:00Z</dcterms:modified>
</cp:coreProperties>
</file>