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r w:rsidRPr="00B04B9C">
        <w:rPr>
          <w:sz w:val="24"/>
          <w:szCs w:val="24"/>
          <w:vertAlign w:val="subscript"/>
          <w:lang w:val="en-US"/>
        </w:rPr>
        <w:t>i</w:t>
      </w:r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количество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bookmarkStart w:id="2" w:name="_GoBack"/>
      <w:bookmarkEnd w:id="2"/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</w:t>
      </w:r>
      <w:r w:rsidR="00C50D73" w:rsidRPr="007224F2">
        <w:rPr>
          <w:sz w:val="24"/>
          <w:szCs w:val="24"/>
        </w:rPr>
        <w:lastRenderedPageBreak/>
        <w:t>количество баллов, просчитанных с учетом до сотых баллов, то, при ранжировке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C3322A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5</cp:revision>
  <dcterms:created xsi:type="dcterms:W3CDTF">2014-08-13T12:27:00Z</dcterms:created>
  <dcterms:modified xsi:type="dcterms:W3CDTF">2015-07-09T11:12:00Z</dcterms:modified>
</cp:coreProperties>
</file>