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69246984"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E905A8" w:rsidRPr="00A533C1">
        <w:t xml:space="preserve">оказание услуг по поверке и обслуживанию приборов безопасности подъемных сооружений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footerReference w:type="default" r:id="rId11"/>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241C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241C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241CE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241CE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241C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241C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lastRenderedPageBreak/>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w:t>
      </w:r>
      <w:r w:rsidRPr="00A533C1">
        <w:rPr>
          <w:rFonts w:ascii="Times New Roman" w:hAnsi="Times New Roman" w:cs="Times New Roman"/>
          <w:b w:val="0"/>
          <w:bCs w:val="0"/>
        </w:rPr>
        <w:lastRenderedPageBreak/>
        <w:t>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533C1">
        <w:rPr>
          <w:rFonts w:ascii="Times New Roman" w:hAnsi="Times New Roman" w:cs="Times New Roman"/>
          <w:b w:val="0"/>
          <w:bCs w:val="0"/>
        </w:rPr>
        <w:lastRenderedPageBreak/>
        <w:t>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A533C1">
        <w:rPr>
          <w:rFonts w:ascii="Times New Roman" w:hAnsi="Times New Roman" w:cs="Times New Roman"/>
          <w:b w:val="0"/>
          <w:bCs w:val="0"/>
        </w:rPr>
        <w:lastRenderedPageBreak/>
        <w:t xml:space="preserve">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533C1">
        <w:rPr>
          <w:bCs/>
          <w:sz w:val="24"/>
          <w:szCs w:val="24"/>
        </w:rPr>
        <w:lastRenderedPageBreak/>
        <w:t>финансов РФ (</w:t>
      </w:r>
      <w:hyperlink r:id="rId16"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533C1">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33C1">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lastRenderedPageBreak/>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533C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533C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533C1">
        <w:lastRenderedPageBreak/>
        <w:t>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533C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lastRenderedPageBreak/>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533C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lastRenderedPageBreak/>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1"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2"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3"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4"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25"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 xml:space="preserve">адрес </w:t>
            </w:r>
            <w:r w:rsidRPr="00CA5956">
              <w:rPr>
                <w:bCs/>
                <w:sz w:val="22"/>
                <w:szCs w:val="22"/>
              </w:rPr>
              <w:lastRenderedPageBreak/>
              <w:t>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lastRenderedPageBreak/>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54F2FF"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E905A8" w:rsidRPr="00CA5956">
              <w:rPr>
                <w:sz w:val="22"/>
                <w:szCs w:val="22"/>
              </w:rPr>
              <w:t>оказание услуг по поверке и обслуживанию приборов безопасности подъемных сооружений 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F888F5B"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E905A8" w:rsidRPr="00CA5956">
              <w:rPr>
                <w:sz w:val="22"/>
                <w:szCs w:val="22"/>
              </w:rPr>
              <w:t>в течение 7 календарных дней, с момента подачи заявки от филиала, но не позднее 31.12.2021</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59C46671"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Участником будет осуществляться </w:t>
            </w:r>
            <w:r w:rsidR="00241CEE">
              <w:rPr>
                <w:sz w:val="22"/>
                <w:szCs w:val="22"/>
              </w:rPr>
              <w:t>согласно Приложению №1 к настоящей Документации</w:t>
            </w:r>
            <w:bookmarkStart w:id="307" w:name="_GoBack"/>
            <w:bookmarkEnd w:id="307"/>
            <w:r w:rsidRPr="00CA5956">
              <w:rPr>
                <w:sz w:val="22"/>
                <w:szCs w:val="22"/>
              </w:rPr>
              <w:t>.</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CA5956">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7B04372"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lastRenderedPageBreak/>
              <w:t>По Лоту №1:</w:t>
            </w:r>
            <w:r w:rsidRPr="00CA5956">
              <w:rPr>
                <w:bCs w:val="0"/>
                <w:sz w:val="22"/>
              </w:rPr>
              <w:t xml:space="preserve"> </w:t>
            </w:r>
            <w:r w:rsidR="00E905A8" w:rsidRPr="00CA5956">
              <w:rPr>
                <w:b/>
                <w:sz w:val="22"/>
              </w:rPr>
              <w:t xml:space="preserve">700 000 </w:t>
            </w:r>
            <w:r w:rsidR="00E905A8" w:rsidRPr="00CA5956">
              <w:rPr>
                <w:sz w:val="22"/>
              </w:rPr>
              <w:t xml:space="preserve">(семьсот тысяч) рубль 00 копеек РФ, без учета НДС; НДС составляет </w:t>
            </w:r>
            <w:r w:rsidR="00E905A8" w:rsidRPr="00CA5956">
              <w:rPr>
                <w:b/>
                <w:sz w:val="22"/>
              </w:rPr>
              <w:t xml:space="preserve">140 000 </w:t>
            </w:r>
            <w:r w:rsidR="00E905A8" w:rsidRPr="00CA5956">
              <w:rPr>
                <w:sz w:val="22"/>
              </w:rPr>
              <w:t xml:space="preserve">(сто сорок тысяч) рублей 00 копеек РФ; </w:t>
            </w:r>
            <w:r w:rsidR="00E905A8" w:rsidRPr="00CA5956">
              <w:rPr>
                <w:b/>
                <w:sz w:val="22"/>
              </w:rPr>
              <w:t xml:space="preserve">840 000 </w:t>
            </w:r>
            <w:r w:rsidR="00E905A8" w:rsidRPr="00CA5956">
              <w:rPr>
                <w:sz w:val="22"/>
              </w:rPr>
              <w:t>(восемьсот сорок тысяч) рублей 00 копеек РФ, с учетом НДС.</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CA5956">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2E33F7A"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 xml:space="preserve">В </w:t>
            </w:r>
            <w:bookmarkStart w:id="310" w:name="_Toc2182176"/>
            <w:r w:rsidRPr="00E91C75">
              <w:rPr>
                <w:rFonts w:eastAsia="Calibri"/>
                <w:bCs/>
                <w:sz w:val="22"/>
                <w:szCs w:val="22"/>
              </w:rPr>
              <w:t xml:space="preserve">Сводной таблице стоимости </w:t>
            </w:r>
            <w:bookmarkEnd w:id="310"/>
            <w:r w:rsidRPr="00E91C75">
              <w:rPr>
                <w:rFonts w:eastAsia="Calibri"/>
                <w:bCs/>
                <w:sz w:val="22"/>
                <w:szCs w:val="22"/>
              </w:rPr>
              <w:t>услуг, подаваемой в составе документов Ценовой части Заявки, Участник указ</w:t>
            </w:r>
            <w:r>
              <w:rPr>
                <w:rFonts w:eastAsia="Calibri"/>
                <w:bCs/>
                <w:sz w:val="22"/>
                <w:szCs w:val="22"/>
              </w:rPr>
              <w:t>ывает</w:t>
            </w:r>
            <w:r w:rsidRPr="00E91C75">
              <w:rPr>
                <w:rFonts w:eastAsia="Calibri"/>
                <w:bCs/>
                <w:sz w:val="22"/>
                <w:szCs w:val="22"/>
              </w:rPr>
              <w:t xml:space="preserve"> стоимости нормо-часа,</w:t>
            </w:r>
            <w:r>
              <w:rPr>
                <w:rFonts w:eastAsia="Calibri"/>
                <w:bCs/>
                <w:sz w:val="22"/>
                <w:szCs w:val="22"/>
              </w:rPr>
              <w:t xml:space="preserve"> которые не превышают значений,</w:t>
            </w:r>
            <w:r w:rsidRPr="00E91C75">
              <w:rPr>
                <w:rFonts w:eastAsia="Calibri"/>
                <w:bCs/>
                <w:sz w:val="22"/>
                <w:szCs w:val="22"/>
              </w:rPr>
              <w:t xml:space="preserve"> указанн</w:t>
            </w:r>
            <w:r>
              <w:rPr>
                <w:rFonts w:eastAsia="Calibri"/>
                <w:bCs/>
                <w:sz w:val="22"/>
                <w:szCs w:val="22"/>
              </w:rPr>
              <w:t>ых</w:t>
            </w:r>
            <w:r w:rsidRPr="00E91C75">
              <w:rPr>
                <w:rFonts w:eastAsia="Calibri"/>
                <w:bCs/>
                <w:sz w:val="22"/>
                <w:szCs w:val="22"/>
              </w:rPr>
              <w:t xml:space="preserve"> в части II «ТЕХНИЧЕСКАЯ ЧАСТЬ» настоящей документации.</w:t>
            </w:r>
          </w:p>
          <w:p w14:paraId="5F79230D" w14:textId="7337BB34" w:rsidR="00995BEE" w:rsidRPr="00CA5956" w:rsidRDefault="00CA5956" w:rsidP="00CA5956">
            <w:pPr>
              <w:widowControl w:val="0"/>
              <w:spacing w:after="0"/>
              <w:rPr>
                <w:rFonts w:eastAsia="Calibri"/>
                <w:sz w:val="22"/>
                <w:szCs w:val="22"/>
              </w:rPr>
            </w:pPr>
            <w:r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71465B38"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E905A8" w:rsidRPr="00CA5956">
              <w:rPr>
                <w:b/>
                <w:bCs/>
                <w:sz w:val="22"/>
                <w:szCs w:val="22"/>
              </w:rPr>
              <w:t>26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4" w:name="_Ref762965"/>
            <w:r w:rsidRPr="00CA5956">
              <w:rPr>
                <w:sz w:val="22"/>
                <w:szCs w:val="22"/>
              </w:rPr>
              <w:t>Дата и время окончания срока, последний день срока подачи Заявок:</w:t>
            </w:r>
            <w:bookmarkEnd w:id="314"/>
          </w:p>
          <w:p w14:paraId="5D3035DE" w14:textId="4C10EB61" w:rsidR="00562DB8" w:rsidRPr="00CA5956" w:rsidRDefault="00E905A8" w:rsidP="00CA5956">
            <w:pPr>
              <w:widowControl w:val="0"/>
              <w:tabs>
                <w:tab w:val="left" w:pos="0"/>
              </w:tabs>
              <w:spacing w:after="0"/>
              <w:rPr>
                <w:sz w:val="22"/>
                <w:szCs w:val="22"/>
              </w:rPr>
            </w:pPr>
            <w:r w:rsidRPr="00CA5956">
              <w:rPr>
                <w:b/>
                <w:sz w:val="22"/>
                <w:szCs w:val="22"/>
              </w:rPr>
              <w:t>04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Рассмотрение первых частей заявок: </w:t>
            </w:r>
          </w:p>
          <w:p w14:paraId="6E69C241" w14:textId="4279C1F2"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E905A8" w:rsidRPr="00CA5956">
              <w:rPr>
                <w:b/>
                <w:color w:val="auto"/>
                <w:sz w:val="22"/>
                <w:szCs w:val="22"/>
              </w:rPr>
              <w:t>09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073C541A" w:rsidR="00062A76" w:rsidRPr="00CA5956" w:rsidRDefault="00062A76" w:rsidP="00CA5956">
            <w:pPr>
              <w:widowControl w:val="0"/>
              <w:tabs>
                <w:tab w:val="left" w:pos="0"/>
              </w:tabs>
              <w:spacing w:after="0"/>
              <w:rPr>
                <w:b/>
                <w:bCs/>
                <w:sz w:val="22"/>
                <w:szCs w:val="22"/>
              </w:rPr>
            </w:pPr>
            <w:r w:rsidRPr="00CA5956">
              <w:rPr>
                <w:sz w:val="22"/>
                <w:szCs w:val="22"/>
              </w:rPr>
              <w:lastRenderedPageBreak/>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905A8" w:rsidRPr="00CA5956">
              <w:rPr>
                <w:b/>
                <w:sz w:val="22"/>
                <w:szCs w:val="22"/>
              </w:rPr>
              <w:t>1</w:t>
            </w:r>
            <w:r w:rsidR="007512D2" w:rsidRPr="00CA5956">
              <w:rPr>
                <w:b/>
                <w:sz w:val="22"/>
                <w:szCs w:val="22"/>
              </w:rPr>
              <w:t>5</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4FDEC661"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905A8" w:rsidRPr="00CA5956">
              <w:rPr>
                <w:b/>
                <w:sz w:val="22"/>
                <w:szCs w:val="22"/>
              </w:rPr>
              <w:t>1</w:t>
            </w:r>
            <w:r w:rsidR="007512D2" w:rsidRPr="00CA5956">
              <w:rPr>
                <w:b/>
                <w:sz w:val="22"/>
                <w:szCs w:val="22"/>
              </w:rPr>
              <w:t>6</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164A23" w:rsidR="00205740" w:rsidRPr="00CA5956" w:rsidRDefault="00205740" w:rsidP="00CA5956">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01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w:t>
            </w:r>
            <w:r w:rsidRPr="00CA5956">
              <w:rPr>
                <w:rStyle w:val="15"/>
                <w:b w:val="0"/>
                <w:bCs w:val="0"/>
                <w:sz w:val="22"/>
                <w:szCs w:val="22"/>
              </w:rPr>
              <w:lastRenderedPageBreak/>
              <w:t>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lastRenderedPageBreak/>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CA5956">
              <w:rPr>
                <w:sz w:val="22"/>
                <w:szCs w:val="22"/>
              </w:rPr>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 xml:space="preserve">численные и квалификационные параметры минимального состава </w:t>
            </w:r>
            <w:r w:rsidRPr="00CA5956">
              <w:rPr>
                <w:sz w:val="22"/>
                <w:szCs w:val="22"/>
              </w:rPr>
              <w:lastRenderedPageBreak/>
              <w:t>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w:t>
            </w:r>
            <w:r w:rsidR="009E2ADF" w:rsidRPr="00CA5956">
              <w:rPr>
                <w:sz w:val="22"/>
                <w:szCs w:val="22"/>
              </w:rPr>
              <w:lastRenderedPageBreak/>
              <w:t>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26" w:history="1">
              <w:r w:rsidRPr="00CA5956">
                <w:rPr>
                  <w:sz w:val="22"/>
                  <w:szCs w:val="22"/>
                </w:rPr>
                <w:t>декларации</w:t>
              </w:r>
            </w:hyperlink>
            <w:r w:rsidRPr="00CA5956">
              <w:rPr>
                <w:sz w:val="22"/>
                <w:szCs w:val="22"/>
              </w:rPr>
              <w:t xml:space="preserve"> по налогу, уплачиваемому в связи с применением </w:t>
            </w:r>
            <w:r w:rsidRPr="00CA5956">
              <w:rPr>
                <w:sz w:val="22"/>
                <w:szCs w:val="22"/>
              </w:rPr>
              <w:lastRenderedPageBreak/>
              <w:t>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w:t>
            </w:r>
            <w:r w:rsidRPr="00CA5956">
              <w:rPr>
                <w:sz w:val="22"/>
                <w:szCs w:val="22"/>
              </w:rPr>
              <w:lastRenderedPageBreak/>
              <w:t>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w:t>
            </w:r>
            <w:r w:rsidR="003A69DA" w:rsidRPr="00CA5956">
              <w:rPr>
                <w:sz w:val="22"/>
                <w:szCs w:val="22"/>
              </w:rPr>
              <w:lastRenderedPageBreak/>
              <w:t>«ИНФОРМАЦИОННАЯ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 xml:space="preserve">по форме и в </w:t>
            </w:r>
            <w:r w:rsidRPr="00CA5956">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CA5956">
              <w:rPr>
                <w:rFonts w:eastAsia="Arial Unicode MS"/>
                <w:sz w:val="22"/>
                <w:szCs w:val="22"/>
              </w:rPr>
              <w:lastRenderedPageBreak/>
              <w:t>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 xml:space="preserve">Счет Организатора для перечисления денежных средств со </w:t>
            </w:r>
            <w:r w:rsidRPr="00CA5956">
              <w:rP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lastRenderedPageBreak/>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 xml:space="preserve">Сведения о возможности </w:t>
            </w:r>
            <w:r w:rsidRPr="00CA5956">
              <w:rPr>
                <w:sz w:val="22"/>
                <w:szCs w:val="22"/>
              </w:rPr>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lastRenderedPageBreak/>
              <w:t xml:space="preserve">Односторонний отказ от исполнения договора возможен в порядке, установленном в </w:t>
            </w:r>
            <w:r w:rsidRPr="00CA5956">
              <w:rPr>
                <w:sz w:val="22"/>
                <w:szCs w:val="22"/>
              </w:rPr>
              <w:lastRenderedPageBreak/>
              <w:t>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905A8" w:rsidRPr="00902488" w:rsidRDefault="00E905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75ADE46"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41CEE">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41CEE">
              <w:rPr>
                <w:bCs/>
                <w:noProof/>
                <w:sz w:val="16"/>
                <w:szCs w:val="16"/>
              </w:rPr>
              <w:t>45</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6E1CDA6"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1D7988" w:rsidRPr="001D7988">
              <w:rPr>
                <w:sz w:val="16"/>
                <w:szCs w:val="16"/>
              </w:rPr>
              <w:t>оказание услуг по поверке и обслуживанию приборов безопасности подъемных сооружений</w:t>
            </w:r>
            <w:r w:rsidRPr="00E905A8">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905A8" w:rsidRPr="00401A97" w:rsidRDefault="00E905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88"/>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1CEE"/>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9F742-3E24-44E2-AEDE-FE0C3191F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45</Pages>
  <Words>20250</Words>
  <Characters>115430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147</cp:revision>
  <cp:lastPrinted>2019-01-16T10:14:00Z</cp:lastPrinted>
  <dcterms:created xsi:type="dcterms:W3CDTF">2019-02-11T09:09:00Z</dcterms:created>
  <dcterms:modified xsi:type="dcterms:W3CDTF">2020-11-26T09:13:00Z</dcterms:modified>
</cp:coreProperties>
</file>