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6B4FA6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B4FA6">
              <w:rPr>
                <w:b/>
                <w:sz w:val="26"/>
                <w:szCs w:val="26"/>
                <w:lang w:val="en-US"/>
              </w:rPr>
              <w:t>203A167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E32A07">
              <w:rPr>
                <w:b/>
                <w:sz w:val="26"/>
                <w:szCs w:val="26"/>
                <w:u w:val="single"/>
                <w:lang w:val="en-US"/>
              </w:rPr>
              <w:t>2002155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BD4FE1" w:rsidRPr="00BE793B" w:rsidTr="00183D89">
        <w:tc>
          <w:tcPr>
            <w:tcW w:w="5217" w:type="dxa"/>
          </w:tcPr>
          <w:p w:rsidR="00BD4FE1" w:rsidRPr="00BE793B" w:rsidRDefault="00BD4FE1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BD4FE1" w:rsidRPr="00BE793B" w:rsidTr="00183D89">
        <w:tc>
          <w:tcPr>
            <w:tcW w:w="5217" w:type="dxa"/>
          </w:tcPr>
          <w:p w:rsidR="00BD4FE1" w:rsidRPr="00BE793B" w:rsidRDefault="00BD4FE1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BD4FE1" w:rsidRPr="00BE793B" w:rsidTr="00183D89">
        <w:tc>
          <w:tcPr>
            <w:tcW w:w="5217" w:type="dxa"/>
          </w:tcPr>
          <w:p w:rsidR="00BD4FE1" w:rsidRPr="00BE793B" w:rsidRDefault="00BD4FE1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BD4FE1" w:rsidRPr="00BE793B" w:rsidTr="00183D89">
        <w:tc>
          <w:tcPr>
            <w:tcW w:w="5217" w:type="dxa"/>
          </w:tcPr>
          <w:p w:rsidR="00BD4FE1" w:rsidRPr="008A4F28" w:rsidRDefault="00BD4FE1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BD4FE1" w:rsidRPr="00BE793B" w:rsidTr="00183D89">
        <w:tc>
          <w:tcPr>
            <w:tcW w:w="5217" w:type="dxa"/>
          </w:tcPr>
          <w:p w:rsidR="00BD4FE1" w:rsidRPr="00BE793B" w:rsidRDefault="00BD4FE1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BD4FE1" w:rsidRPr="00BE793B" w:rsidTr="00183D89">
        <w:tc>
          <w:tcPr>
            <w:tcW w:w="5217" w:type="dxa"/>
          </w:tcPr>
          <w:p w:rsidR="00BD4FE1" w:rsidRPr="00BE793B" w:rsidRDefault="00BD4FE1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BD4FE1" w:rsidRDefault="00BD4FE1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BD4FE1" w:rsidRDefault="00BD4FE1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BD4FE1" w:rsidRDefault="00BD4FE1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BD4FE1" w:rsidRDefault="00BD4FE1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BD4FE1" w:rsidRDefault="00BD4FE1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E32A07">
        <w:rPr>
          <w:b/>
          <w:sz w:val="26"/>
          <w:szCs w:val="26"/>
          <w:u w:val="single"/>
        </w:rPr>
        <w:t xml:space="preserve">Труба стальная </w:t>
      </w:r>
      <w:proofErr w:type="spellStart"/>
      <w:r w:rsidR="00E32A07">
        <w:rPr>
          <w:b/>
          <w:sz w:val="26"/>
          <w:szCs w:val="26"/>
          <w:u w:val="single"/>
        </w:rPr>
        <w:t>водогазопроводная</w:t>
      </w:r>
      <w:proofErr w:type="spellEnd"/>
      <w:r w:rsidR="00E32A07">
        <w:rPr>
          <w:b/>
          <w:sz w:val="26"/>
          <w:szCs w:val="26"/>
          <w:u w:val="single"/>
        </w:rPr>
        <w:t xml:space="preserve"> 32х3,2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E32A07">
        <w:rPr>
          <w:b/>
          <w:sz w:val="26"/>
          <w:szCs w:val="26"/>
          <w:u w:val="single"/>
        </w:rPr>
        <w:t>ГОСТ 3262-75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E32A07">
        <w:rPr>
          <w:sz w:val="26"/>
          <w:szCs w:val="26"/>
        </w:rPr>
        <w:t xml:space="preserve">ГОСТ 3262-75 «Трубы стальные </w:t>
      </w:r>
      <w:proofErr w:type="spellStart"/>
      <w:r w:rsidR="00E32A07">
        <w:rPr>
          <w:sz w:val="26"/>
          <w:szCs w:val="26"/>
        </w:rPr>
        <w:t>водогазопроводные</w:t>
      </w:r>
      <w:proofErr w:type="spellEnd"/>
      <w:r w:rsidR="00E32A07">
        <w:rPr>
          <w:sz w:val="26"/>
          <w:szCs w:val="26"/>
        </w:rPr>
        <w:t>. Технические условия»;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E32A07">
        <w:rPr>
          <w:sz w:val="26"/>
          <w:szCs w:val="26"/>
        </w:rPr>
        <w:t>ГОСТ 10692-80 (для стальных труб), </w:t>
      </w:r>
      <w:r w:rsidR="00134051" w:rsidRPr="00287314">
        <w:rPr>
          <w:sz w:val="24"/>
          <w:szCs w:val="24"/>
        </w:rPr>
        <w:t xml:space="preserve">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</w:t>
      </w:r>
      <w:proofErr w:type="spellStart"/>
      <w:proofErr w:type="gramStart"/>
      <w:r w:rsidR="00E32A07">
        <w:rPr>
          <w:sz w:val="26"/>
          <w:szCs w:val="26"/>
        </w:rPr>
        <w:t>ГОСТ</w:t>
      </w:r>
      <w:proofErr w:type="spellEnd"/>
      <w:proofErr w:type="gramEnd"/>
      <w:r w:rsidR="00E32A07">
        <w:rPr>
          <w:sz w:val="26"/>
          <w:szCs w:val="26"/>
        </w:rPr>
        <w:t xml:space="preserve"> 10692-80 (для стальных труб), </w:t>
      </w:r>
      <w:r w:rsidR="00D45268" w:rsidRPr="00287314">
        <w:rPr>
          <w:sz w:val="24"/>
          <w:szCs w:val="24"/>
        </w:rPr>
        <w:t xml:space="preserve">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E32A07">
        <w:rPr>
          <w:sz w:val="26"/>
          <w:szCs w:val="26"/>
        </w:rPr>
        <w:t>ГОСТ 10692-80 (для стальных труб), 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>ГОСТ 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32A07">
        <w:rPr>
          <w:sz w:val="26"/>
          <w:szCs w:val="26"/>
        </w:rPr>
        <w:t>ГОСТ 10692-80 (для стальных труб), 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 xml:space="preserve">(для </w:t>
      </w:r>
      <w:r w:rsidR="00267155" w:rsidRPr="00CB6078">
        <w:rPr>
          <w:sz w:val="24"/>
          <w:szCs w:val="24"/>
        </w:rPr>
        <w:lastRenderedPageBreak/>
        <w:t>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BD4FE1" w:rsidRPr="00774F6F" w:rsidTr="00183D89">
        <w:tc>
          <w:tcPr>
            <w:tcW w:w="5778" w:type="dxa"/>
          </w:tcPr>
          <w:p w:rsidR="00BD4FE1" w:rsidRPr="00774F6F" w:rsidRDefault="00BD4FE1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BD4FE1" w:rsidRPr="00774F6F" w:rsidRDefault="00BD4FE1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BD4FE1" w:rsidRPr="00774F6F" w:rsidRDefault="00BD4FE1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118" w:rsidRDefault="00544118">
      <w:r>
        <w:separator/>
      </w:r>
    </w:p>
  </w:endnote>
  <w:endnote w:type="continuationSeparator" w:id="0">
    <w:p w:rsidR="00544118" w:rsidRDefault="00544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118" w:rsidRDefault="00544118">
      <w:r>
        <w:separator/>
      </w:r>
    </w:p>
  </w:footnote>
  <w:footnote w:type="continuationSeparator" w:id="0">
    <w:p w:rsidR="00544118" w:rsidRDefault="005441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09399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A0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399B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4118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4FA6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4FE1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2A07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4165E-653E-40E1-B4E7-7984B96D5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924</Words>
  <Characters>5268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2015-02-09T08:42:00Z</dcterms:created>
  <dcterms:modified xsi:type="dcterms:W3CDTF">2015-02-09T08:42:00Z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