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D830BE8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0363-ЯР-20</w:t>
      </w:r>
    </w:p>
    <w:p w14:paraId="14FBB0EA" w14:textId="742BD85C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19</w:t>
      </w:r>
      <w:r w:rsidRPr="00103D80">
        <w:rPr>
          <w:kern w:val="36"/>
        </w:rPr>
        <w:t>»</w:t>
      </w:r>
      <w:r w:rsidR="00286C8C" w:rsidRPr="00103D80">
        <w:rPr>
          <w:kern w:val="36"/>
        </w:rPr>
        <w:t xml:space="preserve"> ноября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09B3A9C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286C8C" w:rsidRPr="00286C8C">
        <w:t>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F81F6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F81F6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F81F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F81F6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F81F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F81F6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3FD767A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286C8C" w:rsidRPr="00DD090E">
              <w:rPr>
                <w:sz w:val="22"/>
                <w:szCs w:val="22"/>
                <w:highlight w:val="yellow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 xml:space="preserve">, расположенного по адресу: </w:t>
            </w:r>
            <w:proofErr w:type="gramStart"/>
            <w:r w:rsidRPr="00DD090E">
              <w:rPr>
                <w:sz w:val="22"/>
                <w:szCs w:val="22"/>
                <w:highlight w:val="yellow"/>
              </w:rPr>
              <w:t xml:space="preserve">РФ, 150003, г. Ярославль, ул. </w:t>
            </w:r>
            <w:proofErr w:type="spellStart"/>
            <w:r w:rsidRPr="00DD090E">
              <w:rPr>
                <w:sz w:val="22"/>
                <w:szCs w:val="22"/>
                <w:highlight w:val="yellow"/>
              </w:rPr>
              <w:t>Воинова</w:t>
            </w:r>
            <w:proofErr w:type="spellEnd"/>
            <w:r w:rsidRPr="00DD090E">
              <w:rPr>
                <w:sz w:val="22"/>
                <w:szCs w:val="22"/>
                <w:highlight w:val="yellow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00B0F30" w:rsidR="006F43E1" w:rsidRPr="0063323B" w:rsidRDefault="00DD090E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Сроки выполнения поставок:</w:t>
            </w:r>
            <w:r w:rsidRPr="00DD090E">
              <w:rPr>
                <w:sz w:val="22"/>
                <w:szCs w:val="22"/>
                <w:highlight w:val="yellow"/>
              </w:rPr>
              <w:t xml:space="preserve"> с момента заключения договора до 31.12.2020 г</w:t>
            </w:r>
            <w:r w:rsidRPr="00DD090E">
              <w:rPr>
                <w:bCs/>
                <w:sz w:val="22"/>
                <w:szCs w:val="22"/>
                <w:highlight w:val="yellow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0884091B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DD090E">
              <w:rPr>
                <w:b/>
                <w:bCs w:val="0"/>
                <w:sz w:val="22"/>
                <w:highlight w:val="yellow"/>
                <w:u w:val="single"/>
              </w:rPr>
              <w:lastRenderedPageBreak/>
              <w:t>По Лоту №1:</w:t>
            </w:r>
            <w:r w:rsidRPr="00DD090E">
              <w:rPr>
                <w:bCs w:val="0"/>
                <w:sz w:val="22"/>
                <w:highlight w:val="yellow"/>
              </w:rPr>
              <w:t xml:space="preserve">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525 434,00 </w:t>
            </w:r>
            <w:r w:rsidR="00286C8C" w:rsidRPr="00DD090E">
              <w:rPr>
                <w:bCs w:val="0"/>
                <w:sz w:val="22"/>
                <w:highlight w:val="yellow"/>
              </w:rPr>
              <w:t>(пятьсот двадцать пять тысяч четыреста тридцать четыре) рубля 00 копеек РФ, без учета НДС; НДС составляет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 105 086,80 </w:t>
            </w:r>
            <w:r w:rsidR="00286C8C" w:rsidRPr="00DD090E">
              <w:rPr>
                <w:bCs w:val="0"/>
                <w:sz w:val="22"/>
                <w:highlight w:val="yellow"/>
              </w:rPr>
              <w:t xml:space="preserve">(сто пять тысяч восемьдесят шесть) рублей 80 копеек РФ; </w:t>
            </w:r>
            <w:r w:rsidR="00286C8C" w:rsidRPr="00DD090E">
              <w:rPr>
                <w:b/>
                <w:bCs w:val="0"/>
                <w:sz w:val="22"/>
                <w:highlight w:val="yellow"/>
              </w:rPr>
              <w:t xml:space="preserve">630 520,80 </w:t>
            </w:r>
            <w:r w:rsidR="00286C8C" w:rsidRPr="00DD090E">
              <w:rPr>
                <w:bCs w:val="0"/>
                <w:sz w:val="22"/>
                <w:highlight w:val="yellow"/>
              </w:rPr>
              <w:t>(шестьсот тридцать тысяч пятьсот двадцать) рублей 80 копеек РФ, с учетом НДС</w:t>
            </w:r>
            <w:r w:rsidR="00ED176D" w:rsidRPr="00DD090E">
              <w:rPr>
                <w:sz w:val="22"/>
                <w:highlight w:val="yellow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3E1577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5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66FB07B6" w14:textId="77777777" w:rsidR="00DD090E" w:rsidRPr="00DD090E" w:rsidRDefault="00DD090E" w:rsidP="00712903">
            <w:pPr>
              <w:widowControl w:val="0"/>
              <w:tabs>
                <w:tab w:val="left" w:pos="0"/>
                <w:tab w:val="left" w:pos="430"/>
              </w:tabs>
              <w:spacing w:after="0" w:line="264" w:lineRule="auto"/>
              <w:ind w:left="289" w:right="175"/>
              <w:rPr>
                <w:bCs/>
                <w:sz w:val="22"/>
                <w:szCs w:val="22"/>
                <w:highlight w:val="yellow"/>
              </w:rPr>
            </w:pPr>
            <w:r w:rsidRPr="00DD090E">
              <w:rPr>
                <w:bCs/>
                <w:sz w:val="22"/>
                <w:szCs w:val="22"/>
                <w:highlight w:val="yellow"/>
              </w:rPr>
              <w:t xml:space="preserve">Дата начала срока подачи заявок: </w:t>
            </w:r>
            <w:r w:rsidRPr="00DD090E">
              <w:rPr>
                <w:b/>
                <w:bCs/>
                <w:sz w:val="22"/>
                <w:szCs w:val="22"/>
                <w:highlight w:val="yellow"/>
              </w:rPr>
              <w:t>19 ноября 2020 года;</w:t>
            </w:r>
            <w:r w:rsidRPr="00DD090E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175DE689" w14:textId="77777777" w:rsidR="002A679F" w:rsidRPr="002A679F" w:rsidRDefault="002A679F" w:rsidP="002A679F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  <w:highlight w:val="yellow"/>
              </w:rPr>
            </w:pPr>
            <w:r w:rsidRPr="002A679F">
              <w:rPr>
                <w:b/>
                <w:bCs/>
                <w:sz w:val="22"/>
                <w:szCs w:val="22"/>
                <w:highlight w:val="yellow"/>
              </w:rPr>
              <w:t>07 декабря 2020 года 12:00 (время московское);</w:t>
            </w:r>
          </w:p>
          <w:p w14:paraId="0861C700" w14:textId="77777777" w:rsidR="002A679F" w:rsidRPr="002A679F" w:rsidRDefault="002A679F" w:rsidP="002A679F">
            <w:pPr>
              <w:widowControl w:val="0"/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>При этом Организатор получает доступ к первым частям заявок на участие в закупке - не позднее дня, следующего за днем окончания срока подачи заявок.</w:t>
            </w:r>
          </w:p>
          <w:p w14:paraId="2A1C0B71" w14:textId="77777777" w:rsidR="002A679F" w:rsidRPr="002A679F" w:rsidRDefault="002A679F" w:rsidP="002A679F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 xml:space="preserve">Рассмотрение первых частей заявок: </w:t>
            </w:r>
          </w:p>
          <w:p w14:paraId="10EFA99F" w14:textId="77777777" w:rsidR="002A679F" w:rsidRPr="002A679F" w:rsidRDefault="002A679F" w:rsidP="002A679F">
            <w:pPr>
              <w:widowControl w:val="0"/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направления оператором ЕЭТП заказчику первый частей заявок; </w:t>
            </w:r>
            <w:r w:rsidRPr="002A679F">
              <w:rPr>
                <w:b/>
                <w:bCs/>
                <w:sz w:val="22"/>
                <w:szCs w:val="22"/>
                <w:highlight w:val="yellow"/>
              </w:rPr>
              <w:t>Дата окончания проведения этапа: 10 декабря 2020 года;</w:t>
            </w:r>
          </w:p>
          <w:p w14:paraId="554AFBBF" w14:textId="77777777" w:rsidR="002A679F" w:rsidRPr="002A679F" w:rsidRDefault="002A679F" w:rsidP="002A679F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38A8B710" w14:textId="77777777" w:rsidR="002A679F" w:rsidRPr="002A679F" w:rsidRDefault="002A679F" w:rsidP="002A679F">
            <w:pPr>
              <w:widowControl w:val="0"/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получения доступа ко вторым частям заявки; </w:t>
            </w:r>
            <w:r w:rsidRPr="002A679F">
              <w:rPr>
                <w:b/>
                <w:bCs/>
                <w:sz w:val="22"/>
                <w:szCs w:val="22"/>
                <w:highlight w:val="yellow"/>
              </w:rPr>
              <w:t>Дата окончания: 14 декабря 2020 года;</w:t>
            </w:r>
          </w:p>
          <w:p w14:paraId="3B83B123" w14:textId="77777777" w:rsidR="002A679F" w:rsidRPr="002A679F" w:rsidRDefault="002A679F" w:rsidP="002A679F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  <w:highlight w:val="yellow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462F5AC4" w14:textId="77777777" w:rsidR="002A679F" w:rsidRPr="002A679F" w:rsidRDefault="002A679F" w:rsidP="002A679F">
            <w:pPr>
              <w:widowControl w:val="0"/>
              <w:tabs>
                <w:tab w:val="left" w:pos="0"/>
                <w:tab w:val="left" w:pos="572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2A679F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размещения протокола рассмотрения вторых частей заявок; </w:t>
            </w:r>
            <w:r w:rsidRPr="002A679F">
              <w:rPr>
                <w:b/>
                <w:bCs/>
                <w:sz w:val="22"/>
                <w:szCs w:val="22"/>
                <w:highlight w:val="yellow"/>
              </w:rPr>
              <w:t>Дата окончания: 15 декабря 2020 года</w:t>
            </w:r>
            <w:r w:rsidRPr="002A679F">
              <w:rPr>
                <w:bCs/>
                <w:sz w:val="22"/>
                <w:szCs w:val="22"/>
                <w:highlight w:val="yellow"/>
              </w:rPr>
              <w:t>.</w:t>
            </w: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D7023B1" w:rsidR="00205740" w:rsidRPr="0063323B" w:rsidRDefault="00205740" w:rsidP="002A679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2A679F">
              <w:rPr>
                <w:sz w:val="22"/>
                <w:szCs w:val="22"/>
                <w:highlight w:val="yellow"/>
              </w:rPr>
              <w:t>04</w:t>
            </w:r>
            <w:r w:rsidR="00DD090E"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2A679F">
              <w:rPr>
                <w:sz w:val="22"/>
                <w:szCs w:val="22"/>
                <w:highlight w:val="yellow"/>
              </w:rPr>
              <w:t>дека</w:t>
            </w:r>
            <w:r w:rsidR="00DD090E" w:rsidRPr="00DD090E">
              <w:rPr>
                <w:sz w:val="22"/>
                <w:szCs w:val="22"/>
                <w:highlight w:val="yellow"/>
              </w:rPr>
              <w:t>бря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 xml:space="preserve">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</w:t>
            </w:r>
            <w:r w:rsidRPr="004A2B9B">
              <w:rPr>
                <w:sz w:val="22"/>
                <w:szCs w:val="22"/>
              </w:rPr>
              <w:lastRenderedPageBreak/>
              <w:t>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</w:t>
            </w:r>
            <w:r w:rsidRPr="00B70D1C">
              <w:rPr>
                <w:sz w:val="22"/>
                <w:szCs w:val="22"/>
              </w:rPr>
              <w:lastRenderedPageBreak/>
              <w:t>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</w:t>
            </w:r>
            <w:r w:rsidRPr="0063323B">
              <w:rPr>
                <w:sz w:val="22"/>
                <w:szCs w:val="22"/>
              </w:rPr>
              <w:lastRenderedPageBreak/>
              <w:t xml:space="preserve">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63323B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</w:t>
            </w:r>
            <w:r w:rsidRPr="0063323B">
              <w:rPr>
                <w:sz w:val="22"/>
                <w:szCs w:val="22"/>
              </w:rPr>
              <w:lastRenderedPageBreak/>
              <w:t>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9377E5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9377E5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CFE6D" w14:textId="77777777" w:rsidR="00F81F6D" w:rsidRDefault="00F81F6D">
      <w:r>
        <w:separator/>
      </w:r>
    </w:p>
    <w:p w14:paraId="2AA99A74" w14:textId="77777777" w:rsidR="00F81F6D" w:rsidRDefault="00F81F6D"/>
  </w:endnote>
  <w:endnote w:type="continuationSeparator" w:id="0">
    <w:p w14:paraId="0B08A7AC" w14:textId="77777777" w:rsidR="00F81F6D" w:rsidRDefault="00F81F6D">
      <w:r>
        <w:continuationSeparator/>
      </w:r>
    </w:p>
    <w:p w14:paraId="661534D8" w14:textId="77777777" w:rsidR="00F81F6D" w:rsidRDefault="00F81F6D"/>
  </w:endnote>
  <w:endnote w:type="continuationNotice" w:id="1">
    <w:p w14:paraId="4C91E0D8" w14:textId="77777777" w:rsidR="00F81F6D" w:rsidRDefault="00F81F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A679F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A679F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40AC585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Pr="00286C8C">
              <w:rPr>
                <w:sz w:val="18"/>
                <w:szCs w:val="18"/>
              </w:rPr>
              <w:t>на поставку карт памяти; поставку ноутбуков и оптических устройств сопряжения; поставку оборудования связи для нужд ПАО «МРСК Центра» (филиала «Ярэнерго»)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ADDF8" w14:textId="77777777" w:rsidR="00F81F6D" w:rsidRDefault="00F81F6D">
      <w:r>
        <w:separator/>
      </w:r>
    </w:p>
    <w:p w14:paraId="65224BA8" w14:textId="77777777" w:rsidR="00F81F6D" w:rsidRDefault="00F81F6D"/>
  </w:footnote>
  <w:footnote w:type="continuationSeparator" w:id="0">
    <w:p w14:paraId="4F335F62" w14:textId="77777777" w:rsidR="00F81F6D" w:rsidRDefault="00F81F6D">
      <w:r>
        <w:continuationSeparator/>
      </w:r>
    </w:p>
    <w:p w14:paraId="00DF20D3" w14:textId="77777777" w:rsidR="00F81F6D" w:rsidRDefault="00F81F6D"/>
  </w:footnote>
  <w:footnote w:type="continuationNotice" w:id="1">
    <w:p w14:paraId="594440DB" w14:textId="77777777" w:rsidR="00F81F6D" w:rsidRDefault="00F81F6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225D5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3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"/>
  </w:num>
  <w:num w:numId="52">
    <w:abstractNumId w:val="25"/>
  </w:num>
  <w:num w:numId="53">
    <w:abstractNumId w:val="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79F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90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EF7C5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F6D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0BE3D-ED8A-481A-816F-C910E267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46</Pages>
  <Words>20483</Words>
  <Characters>116758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20</cp:revision>
  <cp:lastPrinted>2020-08-04T12:52:00Z</cp:lastPrinted>
  <dcterms:created xsi:type="dcterms:W3CDTF">2020-03-02T10:14:00Z</dcterms:created>
  <dcterms:modified xsi:type="dcterms:W3CDTF">2020-12-02T08:14:00Z</dcterms:modified>
</cp:coreProperties>
</file>