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14523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892B19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892B19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14523A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892B19" w:rsidRPr="00892B19">
        <w:rPr>
          <w:rFonts w:ascii="Times New Roman" w:hAnsi="Times New Roman" w:cs="Times New Roman"/>
          <w:sz w:val="24"/>
          <w:szCs w:val="24"/>
        </w:rPr>
        <w:t>Договора поставку светильников уличного освещения и комплектующих к ним для нужд ПАО МРСК Центра (филиал «Белгородэнерго»)</w:t>
      </w:r>
      <w:r w:rsidR="00B85E93" w:rsidRPr="00892B19">
        <w:rPr>
          <w:rFonts w:ascii="Times New Roman" w:hAnsi="Times New Roman" w:cs="Times New Roman"/>
          <w:sz w:val="24"/>
          <w:szCs w:val="24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892B19" w:rsidRPr="00892B19">
        <w:rPr>
          <w:rFonts w:ascii="Times New Roman" w:hAnsi="Times New Roman" w:cs="Times New Roman"/>
          <w:sz w:val="24"/>
          <w:szCs w:val="24"/>
        </w:rPr>
        <w:t>32009179491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892B19">
        <w:rPr>
          <w:rFonts w:ascii="Times New Roman" w:hAnsi="Times New Roman" w:cs="Times New Roman"/>
          <w:sz w:val="24"/>
          <w:szCs w:val="24"/>
        </w:rPr>
        <w:t>25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892B19">
        <w:rPr>
          <w:rFonts w:ascii="Times New Roman" w:hAnsi="Times New Roman" w:cs="Times New Roman"/>
          <w:sz w:val="24"/>
          <w:szCs w:val="24"/>
        </w:rPr>
        <w:t>5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14523A">
        <w:rPr>
          <w:rFonts w:ascii="Times New Roman" w:hAnsi="Times New Roman" w:cs="Times New Roman"/>
          <w:sz w:val="24"/>
          <w:szCs w:val="24"/>
        </w:rPr>
        <w:t>2.4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14523A">
        <w:rPr>
          <w:rFonts w:ascii="Times New Roman" w:hAnsi="Times New Roman" w:cs="Times New Roman"/>
          <w:sz w:val="24"/>
          <w:szCs w:val="24"/>
        </w:rPr>
        <w:t>документации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892B19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92B19" w:rsidRPr="00892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поставку светильников уличного освещения и комплектующих к ним для нужд ПАО МРСК Центра (филиал «Белгородэнерго»)</w:t>
      </w:r>
      <w:r w:rsidR="00892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523A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92B19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4EC97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27</cp:revision>
  <cp:lastPrinted>2015-12-01T11:55:00Z</cp:lastPrinted>
  <dcterms:created xsi:type="dcterms:W3CDTF">2016-03-04T09:23:00Z</dcterms:created>
  <dcterms:modified xsi:type="dcterms:W3CDTF">2020-05-28T07:20:00Z</dcterms:modified>
</cp:coreProperties>
</file>