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E5717">
              <w:rPr>
                <w:b/>
                <w:sz w:val="26"/>
                <w:szCs w:val="26"/>
                <w:u w:val="single"/>
                <w:lang w:val="en-US"/>
              </w:rPr>
              <w:t>0</w:t>
            </w:r>
            <w:r w:rsidR="008A2B5E">
              <w:rPr>
                <w:b/>
                <w:sz w:val="26"/>
                <w:szCs w:val="26"/>
                <w:u w:val="single"/>
                <w:lang w:val="en-US"/>
              </w:rPr>
              <w:t>94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45DB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2274781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C313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B45DB9">
              <w:t>205/70</w:t>
            </w:r>
            <w:r w:rsidR="009C4D97">
              <w:rPr>
                <w:lang w:val="en-US"/>
              </w:rPr>
              <w:t>R1</w:t>
            </w:r>
            <w:r w:rsidR="00B45DB9">
              <w:rPr>
                <w:lang w:val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B45DB9" w:rsidP="00EE731A">
            <w:pPr>
              <w:ind w:firstLine="0"/>
              <w:jc w:val="left"/>
            </w:pPr>
            <w:r w:rsidRPr="00B45DB9">
              <w:t>типоразмер 205/70 R15, конструкция – радиальная, тип рисунка протектора – дорожный, обозначение камеры – бескамерная, индекс скорости не менее 210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8A2B5E" w:rsidP="000B0638">
            <w:pPr>
              <w:ind w:firstLine="0"/>
              <w:jc w:val="center"/>
            </w:pPr>
            <w:proofErr w:type="spellStart"/>
            <w:r w:rsidRPr="008A2B5E">
              <w:t>Amtel</w:t>
            </w:r>
            <w:proofErr w:type="spellEnd"/>
            <w:r w:rsidRPr="008A2B5E">
              <w:t xml:space="preserve"> </w:t>
            </w:r>
            <w:proofErr w:type="spellStart"/>
            <w:r w:rsidRPr="008A2B5E">
              <w:t>Planet</w:t>
            </w:r>
            <w:proofErr w:type="spellEnd"/>
            <w:r w:rsidRPr="008A2B5E">
              <w:t xml:space="preserve"> NV-117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93014" w:rsidRDefault="00093014" w:rsidP="002F1B0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C3137" w:rsidRDefault="006C3137" w:rsidP="006C313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C3137" w:rsidRDefault="006C3137" w:rsidP="006C31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C3137" w:rsidRPr="00093260" w:rsidRDefault="006C3137" w:rsidP="006C31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C3137" w:rsidRPr="003521F4" w:rsidRDefault="006C3137" w:rsidP="006C31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C3137" w:rsidRDefault="006C3137" w:rsidP="006C31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C3137" w:rsidRPr="00BF612E" w:rsidRDefault="006C3137" w:rsidP="006C31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C3137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C3137" w:rsidRPr="004D7689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C3137" w:rsidRPr="004D7689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C3137" w:rsidRPr="004D7689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C3137" w:rsidRPr="00093260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C3137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C3137" w:rsidRPr="00FB7AEF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C3137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C3137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6C3137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6C3137" w:rsidRPr="00307588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6C3137" w:rsidRPr="00307588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C3137" w:rsidRPr="00307588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C3137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C3137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C3137" w:rsidRPr="00DB3AE4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6C3137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6C3137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C3137" w:rsidRPr="003521F4" w:rsidRDefault="006C3137" w:rsidP="006C31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C3137" w:rsidRPr="00612811" w:rsidRDefault="006C3137" w:rsidP="006C313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C3137" w:rsidRDefault="006C3137" w:rsidP="006C313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C3137" w:rsidRDefault="006C3137" w:rsidP="006C31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C3137" w:rsidRPr="00063B30" w:rsidRDefault="006C3137" w:rsidP="006C31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C3137" w:rsidRDefault="006C3137" w:rsidP="006C3137">
      <w:pPr>
        <w:spacing w:line="276" w:lineRule="auto"/>
        <w:rPr>
          <w:sz w:val="24"/>
          <w:szCs w:val="24"/>
        </w:rPr>
      </w:pPr>
    </w:p>
    <w:p w:rsidR="006C3137" w:rsidRPr="004D4E32" w:rsidRDefault="006C3137" w:rsidP="006C313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C3137" w:rsidRDefault="006C3137" w:rsidP="006C31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C3137" w:rsidRDefault="006C3137" w:rsidP="006C31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3137" w:rsidRPr="004D4E32" w:rsidRDefault="006C3137" w:rsidP="006C313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C3137" w:rsidRDefault="006C3137" w:rsidP="006C313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C3137" w:rsidRPr="00612811" w:rsidRDefault="006C3137" w:rsidP="006C31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3137" w:rsidRPr="004D4E32" w:rsidRDefault="006C3137" w:rsidP="006C313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C3137" w:rsidRPr="00D10A40" w:rsidRDefault="006C3137" w:rsidP="006C31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C3137" w:rsidRPr="00D10A40" w:rsidRDefault="006C3137" w:rsidP="006C31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C3137" w:rsidRPr="00D10A40" w:rsidRDefault="006C3137" w:rsidP="006C31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C3137" w:rsidRDefault="006C3137" w:rsidP="006C31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C3137" w:rsidRPr="00612811" w:rsidRDefault="006C3137" w:rsidP="006C313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C3137" w:rsidRPr="00BB6EA4" w:rsidRDefault="006C3137" w:rsidP="006C313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C3137" w:rsidRDefault="006C3137" w:rsidP="006C31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C3137" w:rsidRDefault="006C3137" w:rsidP="006C313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3137" w:rsidRDefault="006C3137" w:rsidP="006C313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C3137" w:rsidRDefault="006C3137" w:rsidP="006C3137">
      <w:pPr>
        <w:spacing w:line="276" w:lineRule="auto"/>
        <w:ind w:firstLine="709"/>
        <w:rPr>
          <w:sz w:val="24"/>
          <w:szCs w:val="24"/>
        </w:rPr>
      </w:pPr>
    </w:p>
    <w:p w:rsidR="006C3137" w:rsidRPr="00CF1FB0" w:rsidRDefault="006C3137" w:rsidP="006C3137">
      <w:pPr>
        <w:spacing w:line="276" w:lineRule="auto"/>
        <w:ind w:firstLine="709"/>
        <w:rPr>
          <w:sz w:val="24"/>
          <w:szCs w:val="24"/>
        </w:rPr>
      </w:pPr>
    </w:p>
    <w:p w:rsidR="006C3137" w:rsidRDefault="006C3137" w:rsidP="006C3137">
      <w:pPr>
        <w:rPr>
          <w:sz w:val="26"/>
          <w:szCs w:val="26"/>
        </w:rPr>
      </w:pPr>
    </w:p>
    <w:p w:rsidR="006C3137" w:rsidRDefault="006C3137" w:rsidP="006C313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C3137" w:rsidRPr="00E1390F" w:rsidRDefault="006C3137" w:rsidP="006C313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C3137" w:rsidRPr="00DD53C5" w:rsidRDefault="006C3137" w:rsidP="006C3137">
      <w:pPr>
        <w:ind w:firstLine="0"/>
        <w:rPr>
          <w:color w:val="00B0F0"/>
          <w:sz w:val="26"/>
          <w:szCs w:val="26"/>
        </w:rPr>
      </w:pPr>
    </w:p>
    <w:p w:rsidR="006C3137" w:rsidRPr="00F21153" w:rsidRDefault="006C3137" w:rsidP="006C313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3137" w:rsidRPr="00F21153" w:rsidRDefault="006C3137" w:rsidP="006C313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3137" w:rsidRPr="006C3137" w:rsidRDefault="006C3137" w:rsidP="006C3137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6C3137" w:rsidRPr="006C3137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914" w:rsidRDefault="00366914">
      <w:r>
        <w:separator/>
      </w:r>
    </w:p>
  </w:endnote>
  <w:endnote w:type="continuationSeparator" w:id="0">
    <w:p w:rsidR="00366914" w:rsidRDefault="0036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C313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914" w:rsidRDefault="00366914">
      <w:r>
        <w:separator/>
      </w:r>
    </w:p>
  </w:footnote>
  <w:footnote w:type="continuationSeparator" w:id="0">
    <w:p w:rsidR="00366914" w:rsidRDefault="00366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014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1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1B03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691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5E1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137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5717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3E9D"/>
    <w:rsid w:val="007B533C"/>
    <w:rsid w:val="007B56FE"/>
    <w:rsid w:val="007B5A47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5F6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FC0FF-D5B3-4C2C-8FDB-2CD11764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2015-08-31T15:01:00Z</dcterms:created>
  <dcterms:modified xsi:type="dcterms:W3CDTF">2015-09-28T13:51:00Z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