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39A" w:rsidRDefault="000D739A">
      <w:pPr>
        <w:pStyle w:val="10"/>
        <w:keepNext/>
        <w:keepLines/>
        <w:shd w:val="clear" w:color="auto" w:fill="auto"/>
        <w:rPr>
          <w:rStyle w:val="11"/>
          <w:b/>
          <w:bCs/>
        </w:rPr>
      </w:pPr>
      <w:bookmarkStart w:id="0" w:name="bookmark0"/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9781"/>
      </w:tblGrid>
      <w:tr w:rsidR="009A2E04" w:rsidRPr="00F53FB4" w:rsidTr="00AF3245">
        <w:trPr>
          <w:trHeight w:val="60"/>
        </w:trPr>
        <w:tc>
          <w:tcPr>
            <w:tcW w:w="9781" w:type="dxa"/>
            <w:shd w:val="clear" w:color="auto" w:fill="auto"/>
            <w:vAlign w:val="bottom"/>
            <w:hideMark/>
          </w:tcPr>
          <w:p w:rsidR="009A2E04" w:rsidRPr="00F53FB4" w:rsidRDefault="009A2E04" w:rsidP="00DD68C0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53FB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“УТВЕРЖДАЮ”</w:t>
            </w:r>
          </w:p>
        </w:tc>
      </w:tr>
      <w:tr w:rsidR="009A2E04" w:rsidRPr="00F53FB4" w:rsidTr="00AF3245">
        <w:trPr>
          <w:trHeight w:val="136"/>
        </w:trPr>
        <w:tc>
          <w:tcPr>
            <w:tcW w:w="9781" w:type="dxa"/>
            <w:shd w:val="clear" w:color="auto" w:fill="auto"/>
            <w:noWrap/>
            <w:vAlign w:val="bottom"/>
            <w:hideMark/>
          </w:tcPr>
          <w:p w:rsidR="009A2E04" w:rsidRPr="00F53FB4" w:rsidRDefault="00DD68C0" w:rsidP="00DD68C0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r w:rsidR="009A2E04"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ый</w:t>
            </w:r>
            <w:r w:rsidR="009A2E04"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заместител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ь</w:t>
            </w:r>
            <w:r w:rsidR="002A68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9A2E04"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директора - </w:t>
            </w:r>
          </w:p>
        </w:tc>
      </w:tr>
      <w:tr w:rsidR="009A2E04" w:rsidRPr="00F53FB4" w:rsidTr="00AF3245">
        <w:trPr>
          <w:trHeight w:val="345"/>
        </w:trPr>
        <w:tc>
          <w:tcPr>
            <w:tcW w:w="9781" w:type="dxa"/>
            <w:shd w:val="clear" w:color="auto" w:fill="auto"/>
            <w:noWrap/>
            <w:vAlign w:val="bottom"/>
            <w:hideMark/>
          </w:tcPr>
          <w:p w:rsidR="009A2E04" w:rsidRPr="00F53FB4" w:rsidRDefault="009A2E04" w:rsidP="002A6826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главн</w:t>
            </w:r>
            <w:r w:rsidR="002A68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ый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инженер филиала</w:t>
            </w:r>
          </w:p>
        </w:tc>
      </w:tr>
      <w:tr w:rsidR="009A2E04" w:rsidRPr="00F53FB4" w:rsidTr="00AF3245">
        <w:trPr>
          <w:trHeight w:val="330"/>
        </w:trPr>
        <w:tc>
          <w:tcPr>
            <w:tcW w:w="9781" w:type="dxa"/>
            <w:shd w:val="clear" w:color="auto" w:fill="auto"/>
            <w:noWrap/>
            <w:vAlign w:val="bottom"/>
            <w:hideMark/>
          </w:tcPr>
          <w:p w:rsidR="009A2E04" w:rsidRPr="00F53FB4" w:rsidRDefault="009A2E04" w:rsidP="00DD68C0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ПАО «МРСК Центра» - «Орелэнерго»</w:t>
            </w:r>
          </w:p>
        </w:tc>
      </w:tr>
      <w:tr w:rsidR="009A2E04" w:rsidRPr="00F53FB4" w:rsidTr="00AF3245">
        <w:trPr>
          <w:trHeight w:val="330"/>
        </w:trPr>
        <w:tc>
          <w:tcPr>
            <w:tcW w:w="9781" w:type="dxa"/>
            <w:shd w:val="clear" w:color="auto" w:fill="auto"/>
            <w:noWrap/>
            <w:vAlign w:val="bottom"/>
            <w:hideMark/>
          </w:tcPr>
          <w:p w:rsidR="009A2E04" w:rsidRPr="00F53FB4" w:rsidRDefault="009A2E04" w:rsidP="002A6826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__________________</w:t>
            </w:r>
            <w:r w:rsidR="002A68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Колубанов 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2A68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  <w:r w:rsidR="002A68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 w:rsidR="009A2E04" w:rsidRPr="00F53FB4" w:rsidTr="00AF3245">
        <w:trPr>
          <w:trHeight w:val="330"/>
        </w:trPr>
        <w:tc>
          <w:tcPr>
            <w:tcW w:w="9781" w:type="dxa"/>
            <w:shd w:val="clear" w:color="auto" w:fill="auto"/>
            <w:noWrap/>
            <w:vAlign w:val="bottom"/>
            <w:hideMark/>
          </w:tcPr>
          <w:p w:rsidR="009A2E04" w:rsidRPr="00F53FB4" w:rsidRDefault="009A2E04" w:rsidP="00AF3245">
            <w:pPr>
              <w:widowControl/>
              <w:ind w:firstLine="851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“</w:t>
            </w:r>
            <w:r w:rsidR="00AF3245" w:rsidRP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</w:t>
            </w:r>
            <w:r w:rsid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</w:t>
            </w:r>
            <w:r w:rsidR="00AF3245" w:rsidRP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>05</w:t>
            </w:r>
            <w:r w:rsid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</w:t>
            </w:r>
            <w:r w:rsidR="00AF3245" w:rsidRP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” </w:t>
            </w:r>
            <w:r w:rsid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         </w:t>
            </w:r>
            <w:r w:rsidR="00AF3245" w:rsidRP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>08</w:t>
            </w:r>
            <w:r w:rsid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         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</w:t>
            </w:r>
            <w:r w:rsidRP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20 </w:t>
            </w:r>
            <w:r w:rsidRPr="00F53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</w:t>
            </w:r>
            <w:r w:rsidR="00AF32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</w:tbl>
    <w:p w:rsidR="009A2E04" w:rsidRDefault="009A2E04">
      <w:pPr>
        <w:pStyle w:val="10"/>
        <w:keepNext/>
        <w:keepLines/>
        <w:shd w:val="clear" w:color="auto" w:fill="auto"/>
        <w:rPr>
          <w:rStyle w:val="11"/>
          <w:b/>
          <w:bCs/>
        </w:rPr>
      </w:pPr>
    </w:p>
    <w:p w:rsidR="009A2E04" w:rsidRDefault="009A2E04">
      <w:pPr>
        <w:pStyle w:val="10"/>
        <w:keepNext/>
        <w:keepLines/>
        <w:shd w:val="clear" w:color="auto" w:fill="auto"/>
        <w:rPr>
          <w:rStyle w:val="11"/>
          <w:b/>
          <w:bCs/>
        </w:rPr>
      </w:pPr>
    </w:p>
    <w:p w:rsidR="008D6D92" w:rsidRPr="002E41EC" w:rsidRDefault="00CF748A">
      <w:pPr>
        <w:pStyle w:val="10"/>
        <w:keepNext/>
        <w:keepLines/>
        <w:shd w:val="clear" w:color="auto" w:fill="auto"/>
      </w:pPr>
      <w:r w:rsidRPr="002E41EC">
        <w:rPr>
          <w:rStyle w:val="11"/>
          <w:b/>
          <w:bCs/>
        </w:rPr>
        <w:t xml:space="preserve">ТЕХНИЧЕСКОЕ </w:t>
      </w:r>
      <w:r w:rsidRPr="002E41EC">
        <w:t>ЗАДАНИЕ</w:t>
      </w:r>
      <w:bookmarkEnd w:id="0"/>
    </w:p>
    <w:p w:rsidR="008D6D92" w:rsidRPr="002E41EC" w:rsidRDefault="00CF748A">
      <w:pPr>
        <w:pStyle w:val="30"/>
        <w:shd w:val="clear" w:color="auto" w:fill="auto"/>
        <w:spacing w:after="259"/>
        <w:ind w:left="1420"/>
        <w:rPr>
          <w:sz w:val="22"/>
          <w:szCs w:val="22"/>
        </w:rPr>
      </w:pPr>
      <w:r w:rsidRPr="002E41EC">
        <w:rPr>
          <w:sz w:val="22"/>
          <w:szCs w:val="22"/>
        </w:rPr>
        <w:t xml:space="preserve">на оказание услуг по проведению </w:t>
      </w:r>
      <w:r w:rsidR="00D13498" w:rsidRPr="002E41EC">
        <w:rPr>
          <w:sz w:val="22"/>
          <w:szCs w:val="22"/>
        </w:rPr>
        <w:t xml:space="preserve">периодических и первичных медицинских осмотров </w:t>
      </w:r>
      <w:r w:rsidRPr="002E41EC">
        <w:rPr>
          <w:sz w:val="22"/>
          <w:szCs w:val="22"/>
        </w:rPr>
        <w:t xml:space="preserve">работников </w:t>
      </w:r>
      <w:r w:rsidR="000D739A" w:rsidRPr="002E41EC">
        <w:rPr>
          <w:sz w:val="22"/>
          <w:szCs w:val="22"/>
        </w:rPr>
        <w:t xml:space="preserve">филиала </w:t>
      </w:r>
      <w:r w:rsidRPr="002E41EC">
        <w:rPr>
          <w:sz w:val="22"/>
          <w:szCs w:val="22"/>
        </w:rPr>
        <w:t>ПАО «</w:t>
      </w:r>
      <w:r w:rsidR="000D739A" w:rsidRPr="002E41EC">
        <w:rPr>
          <w:sz w:val="22"/>
          <w:szCs w:val="22"/>
        </w:rPr>
        <w:t>МРСК Центра</w:t>
      </w:r>
      <w:r w:rsidR="00E1588E" w:rsidRPr="002E41EC">
        <w:rPr>
          <w:sz w:val="22"/>
          <w:szCs w:val="22"/>
        </w:rPr>
        <w:t xml:space="preserve"> </w:t>
      </w:r>
      <w:r w:rsidR="000D739A" w:rsidRPr="002E41EC">
        <w:rPr>
          <w:sz w:val="22"/>
          <w:szCs w:val="22"/>
        </w:rPr>
        <w:t>- «Ор</w:t>
      </w:r>
      <w:r w:rsidR="00E1588E" w:rsidRPr="002E41EC">
        <w:rPr>
          <w:sz w:val="22"/>
          <w:szCs w:val="22"/>
        </w:rPr>
        <w:t>е</w:t>
      </w:r>
      <w:r w:rsidR="000D739A" w:rsidRPr="002E41EC">
        <w:rPr>
          <w:sz w:val="22"/>
          <w:szCs w:val="22"/>
        </w:rPr>
        <w:t>лэнерг</w:t>
      </w:r>
      <w:r w:rsidR="00E1588E" w:rsidRPr="002E41EC">
        <w:rPr>
          <w:sz w:val="22"/>
          <w:szCs w:val="22"/>
        </w:rPr>
        <w:t>о</w:t>
      </w:r>
      <w:r w:rsidR="000D739A" w:rsidRPr="002E41EC">
        <w:rPr>
          <w:sz w:val="22"/>
          <w:szCs w:val="22"/>
        </w:rPr>
        <w:t xml:space="preserve">» </w:t>
      </w:r>
      <w:r w:rsidRPr="002E41EC">
        <w:rPr>
          <w:sz w:val="22"/>
          <w:szCs w:val="22"/>
        </w:rPr>
        <w:t>в 20</w:t>
      </w:r>
      <w:r w:rsidR="000D739A" w:rsidRPr="002E41EC">
        <w:rPr>
          <w:sz w:val="22"/>
          <w:szCs w:val="22"/>
        </w:rPr>
        <w:t>20</w:t>
      </w:r>
      <w:r w:rsidR="006C0BCC" w:rsidRPr="002E41EC">
        <w:rPr>
          <w:sz w:val="22"/>
          <w:szCs w:val="22"/>
        </w:rPr>
        <w:t xml:space="preserve"> </w:t>
      </w:r>
      <w:r w:rsidR="00261311" w:rsidRPr="002E41EC">
        <w:rPr>
          <w:sz w:val="22"/>
          <w:szCs w:val="22"/>
        </w:rPr>
        <w:t>- 2021</w:t>
      </w:r>
      <w:r w:rsidRPr="002E41EC">
        <w:rPr>
          <w:sz w:val="22"/>
          <w:szCs w:val="22"/>
        </w:rPr>
        <w:t>году</w:t>
      </w:r>
    </w:p>
    <w:tbl>
      <w:tblPr>
        <w:tblW w:w="477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3973"/>
        <w:gridCol w:w="2622"/>
        <w:gridCol w:w="1518"/>
      </w:tblGrid>
      <w:tr w:rsidR="00261311" w:rsidRPr="002E41EC" w:rsidTr="00AF3245">
        <w:trPr>
          <w:trHeight w:val="64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134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Филиал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Категория</w:t>
            </w:r>
            <w:r w:rsidR="00AF3245"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персонала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134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Место проведения медицинского осмотра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276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</w:t>
            </w:r>
          </w:p>
          <w:p w:rsidR="00261311" w:rsidRPr="002E41EC" w:rsidRDefault="00261311" w:rsidP="00AF3245">
            <w:pPr>
              <w:widowControl/>
              <w:tabs>
                <w:tab w:val="left" w:pos="1276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проведения</w:t>
            </w:r>
          </w:p>
        </w:tc>
      </w:tr>
      <w:tr w:rsidR="00261311" w:rsidRPr="002E41EC" w:rsidTr="00AF3245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F8153B">
            <w:pPr>
              <w:widowControl/>
              <w:tabs>
                <w:tab w:val="left" w:pos="1134"/>
              </w:tabs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«Орелэнерго»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F8153B" w:rsidP="00AF3245">
            <w:pPr>
              <w:widowControl/>
              <w:tabs>
                <w:tab w:val="left" w:pos="1134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Работники, занятые на тяжелых работах и на работах с вредными и (или) опасными условиями труда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134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г. Орел, </w:t>
            </w:r>
            <w:r w:rsidR="00F8153B"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медицинского учреждения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11" w:rsidRPr="002E41EC" w:rsidRDefault="00261311" w:rsidP="00AF3245">
            <w:pPr>
              <w:widowControl/>
              <w:tabs>
                <w:tab w:val="left" w:pos="1134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 год</w:t>
            </w:r>
          </w:p>
        </w:tc>
      </w:tr>
    </w:tbl>
    <w:p w:rsidR="008D6D92" w:rsidRPr="002E41EC" w:rsidRDefault="00CF748A" w:rsidP="002E41E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61"/>
        </w:tabs>
        <w:ind w:left="480"/>
      </w:pPr>
      <w:bookmarkStart w:id="1" w:name="bookmark1"/>
      <w:r w:rsidRPr="002E41EC">
        <w:t>Общие положения.</w:t>
      </w:r>
      <w:bookmarkEnd w:id="1"/>
    </w:p>
    <w:p w:rsidR="008D6D92" w:rsidRPr="002E41EC" w:rsidRDefault="00CF748A">
      <w:pPr>
        <w:pStyle w:val="22"/>
        <w:shd w:val="clear" w:color="auto" w:fill="auto"/>
        <w:ind w:left="1180"/>
      </w:pPr>
      <w:r w:rsidRPr="002E41EC">
        <w:t>Основание для оказания услуг:</w:t>
      </w:r>
    </w:p>
    <w:p w:rsidR="008D6D92" w:rsidRPr="002E41EC" w:rsidRDefault="00CF748A" w:rsidP="0009609A">
      <w:pPr>
        <w:pStyle w:val="22"/>
        <w:numPr>
          <w:ilvl w:val="0"/>
          <w:numId w:val="4"/>
        </w:numPr>
        <w:shd w:val="clear" w:color="auto" w:fill="auto"/>
        <w:jc w:val="both"/>
      </w:pPr>
      <w:r w:rsidRPr="002E41EC">
        <w:t>Трудовой кодекс Российской Федерации статья 212, 213</w:t>
      </w:r>
    </w:p>
    <w:p w:rsidR="008D6D92" w:rsidRPr="002E41EC" w:rsidRDefault="00CF748A" w:rsidP="0009609A">
      <w:pPr>
        <w:pStyle w:val="22"/>
        <w:numPr>
          <w:ilvl w:val="0"/>
          <w:numId w:val="4"/>
        </w:numPr>
        <w:shd w:val="clear" w:color="auto" w:fill="auto"/>
        <w:jc w:val="both"/>
      </w:pPr>
      <w:r w:rsidRPr="002E41EC">
        <w:t>Приказ Министерства здравоохранения и социального развития Российской Федерации от 12 апреля 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Приказ № 302н)</w:t>
      </w:r>
    </w:p>
    <w:p w:rsidR="008D6D92" w:rsidRPr="002E41EC" w:rsidRDefault="00D028C1" w:rsidP="0009609A">
      <w:pPr>
        <w:pStyle w:val="22"/>
        <w:numPr>
          <w:ilvl w:val="0"/>
          <w:numId w:val="4"/>
        </w:numPr>
        <w:shd w:val="clear" w:color="auto" w:fill="auto"/>
        <w:jc w:val="both"/>
      </w:pPr>
      <w:r w:rsidRPr="002E41EC">
        <w:t>Федеральный Закон</w:t>
      </w:r>
      <w:r w:rsidR="00CF748A" w:rsidRPr="002E41EC">
        <w:t xml:space="preserve"> от 30.03.1999</w:t>
      </w:r>
      <w:r w:rsidR="002E41EC">
        <w:t xml:space="preserve"> </w:t>
      </w:r>
      <w:r w:rsidR="00CF748A" w:rsidRPr="002E41EC">
        <w:t>№ 52-ФЗ «О санитарно-эпидемиологическом благополучии населения» глава 4 статья 29, 34</w:t>
      </w:r>
    </w:p>
    <w:p w:rsidR="008D6D92" w:rsidRPr="002E41EC" w:rsidRDefault="00CF748A" w:rsidP="00AF3245">
      <w:pPr>
        <w:pStyle w:val="22"/>
        <w:numPr>
          <w:ilvl w:val="0"/>
          <w:numId w:val="4"/>
        </w:numPr>
        <w:shd w:val="clear" w:color="auto" w:fill="auto"/>
        <w:spacing w:after="120"/>
        <w:jc w:val="both"/>
      </w:pPr>
      <w:r w:rsidRPr="002E41EC">
        <w:t>Федеральный закон от 21</w:t>
      </w:r>
      <w:r w:rsidR="002E41EC">
        <w:t>.07.</w:t>
      </w:r>
      <w:r w:rsidRPr="002E41EC">
        <w:t>1997</w:t>
      </w:r>
      <w:r w:rsidR="002E41EC">
        <w:t xml:space="preserve"> </w:t>
      </w:r>
      <w:r w:rsidRPr="002E41EC">
        <w:t>№ 116-ФЗ «О промышленной безопасности опасных производственных объектов».</w:t>
      </w:r>
    </w:p>
    <w:p w:rsidR="008D6D92" w:rsidRPr="002E41EC" w:rsidRDefault="00CF748A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891"/>
        </w:tabs>
        <w:spacing w:before="0" w:line="298" w:lineRule="exact"/>
        <w:ind w:left="600"/>
      </w:pPr>
      <w:bookmarkStart w:id="2" w:name="bookmark2"/>
      <w:r w:rsidRPr="002E41EC">
        <w:t>Срок оказания услуг.</w:t>
      </w:r>
      <w:bookmarkEnd w:id="2"/>
    </w:p>
    <w:p w:rsidR="004A5071" w:rsidRPr="002E41EC" w:rsidRDefault="00CF748A" w:rsidP="004A5071">
      <w:pPr>
        <w:pStyle w:val="22"/>
        <w:shd w:val="clear" w:color="auto" w:fill="auto"/>
        <w:spacing w:line="240" w:lineRule="auto"/>
        <w:jc w:val="both"/>
      </w:pPr>
      <w:r w:rsidRPr="002E41EC">
        <w:t xml:space="preserve">Начало: </w:t>
      </w:r>
      <w:r w:rsidR="00780DBD" w:rsidRPr="002E41EC">
        <w:t xml:space="preserve">с момента заключения договора. </w:t>
      </w:r>
    </w:p>
    <w:p w:rsidR="008D6D92" w:rsidRPr="002E41EC" w:rsidRDefault="00CF748A" w:rsidP="004A5071">
      <w:pPr>
        <w:pStyle w:val="22"/>
        <w:shd w:val="clear" w:color="auto" w:fill="auto"/>
        <w:spacing w:line="240" w:lineRule="auto"/>
        <w:jc w:val="both"/>
      </w:pPr>
      <w:r w:rsidRPr="002E41EC">
        <w:t xml:space="preserve">Окончание: </w:t>
      </w:r>
      <w:r w:rsidR="00780DBD" w:rsidRPr="002E41EC">
        <w:t>1 календарный год с момента заключения договора .</w:t>
      </w:r>
    </w:p>
    <w:p w:rsidR="008D6D92" w:rsidRPr="002E41EC" w:rsidRDefault="00CF748A" w:rsidP="00AF3245">
      <w:pPr>
        <w:pStyle w:val="22"/>
        <w:shd w:val="clear" w:color="auto" w:fill="auto"/>
        <w:spacing w:after="120" w:line="298" w:lineRule="exact"/>
        <w:jc w:val="both"/>
      </w:pPr>
      <w:r w:rsidRPr="002E41EC">
        <w:t>Услуги должны быть оказаны в рабочие дни в соответстви</w:t>
      </w:r>
      <w:r w:rsidR="004A5071" w:rsidRPr="002E41EC">
        <w:t xml:space="preserve">е с </w:t>
      </w:r>
      <w:r w:rsidRPr="002E41EC">
        <w:t>календарным планом в удобное для работников Заказчика время.</w:t>
      </w:r>
    </w:p>
    <w:p w:rsidR="008D6D92" w:rsidRPr="002E41EC" w:rsidRDefault="00CF748A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891"/>
        </w:tabs>
        <w:spacing w:before="0"/>
        <w:ind w:left="600"/>
      </w:pPr>
      <w:bookmarkStart w:id="3" w:name="bookmark3"/>
      <w:r w:rsidRPr="002E41EC">
        <w:t>Требования к исполнителю. Требования к выполнению работ.</w:t>
      </w:r>
      <w:bookmarkEnd w:id="3"/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>Регистрация в установленном порядке на территории Российской Федерации.</w:t>
      </w:r>
    </w:p>
    <w:p w:rsidR="007B1E4C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>Место</w:t>
      </w:r>
      <w:r w:rsidR="007B1E4C" w:rsidRPr="002E41EC">
        <w:t xml:space="preserve"> </w:t>
      </w:r>
      <w:r w:rsidR="00EF69F8" w:rsidRPr="002E41EC">
        <w:t>выполнения</w:t>
      </w:r>
      <w:r w:rsidR="00A917DE" w:rsidRPr="002E41EC">
        <w:t xml:space="preserve"> медицинских услуг по проведению периодических медосмотров</w:t>
      </w:r>
      <w:r w:rsidR="004A5071" w:rsidRPr="002E41EC">
        <w:t>:</w:t>
      </w:r>
      <w:r w:rsidRPr="002E41EC">
        <w:t xml:space="preserve"> на территории </w:t>
      </w:r>
      <w:r w:rsidR="005E23EB" w:rsidRPr="002E41EC">
        <w:t xml:space="preserve"> </w:t>
      </w:r>
      <w:r w:rsidRPr="002E41EC">
        <w:t xml:space="preserve">г. </w:t>
      </w:r>
      <w:r w:rsidR="007B1E4C" w:rsidRPr="002E41EC">
        <w:t>Орла</w:t>
      </w:r>
      <w:r w:rsidR="00EF69F8" w:rsidRPr="002E41EC">
        <w:t>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 xml:space="preserve">Опыт работы на рынке медицинских услуг </w:t>
      </w:r>
      <w:r w:rsidR="00A573B5" w:rsidRPr="002E41EC">
        <w:t>по проведению периодических медосмотров</w:t>
      </w:r>
      <w:r w:rsidR="009701D6" w:rsidRPr="002E41EC">
        <w:t>,</w:t>
      </w:r>
      <w:r w:rsidR="00A573B5" w:rsidRPr="002E41EC">
        <w:t xml:space="preserve"> </w:t>
      </w:r>
      <w:r w:rsidR="00047CA6" w:rsidRPr="002E41EC">
        <w:t xml:space="preserve">имеющих необходимый уровень квалификации, </w:t>
      </w:r>
      <w:r w:rsidRPr="002E41EC">
        <w:t xml:space="preserve">не менее </w:t>
      </w:r>
      <w:r w:rsidR="00702302" w:rsidRPr="002E41EC">
        <w:t>3</w:t>
      </w:r>
      <w:r w:rsidRPr="002E41EC">
        <w:t xml:space="preserve"> (</w:t>
      </w:r>
      <w:r w:rsidR="00702302" w:rsidRPr="002E41EC">
        <w:t>трёх</w:t>
      </w:r>
      <w:r w:rsidRPr="002E41EC">
        <w:t>) лет</w:t>
      </w:r>
      <w:r w:rsidR="00D13498" w:rsidRPr="002E41EC">
        <w:t>. Для участия в закупках</w:t>
      </w:r>
      <w:r w:rsidR="00A917DE" w:rsidRPr="002E41EC">
        <w:t xml:space="preserve"> </w:t>
      </w:r>
      <w:r w:rsidR="009701D6" w:rsidRPr="002E41EC">
        <w:t xml:space="preserve">предоставить справку о выполнении </w:t>
      </w:r>
      <w:r w:rsidR="004C1AE9" w:rsidRPr="002E41EC">
        <w:t xml:space="preserve">договоров </w:t>
      </w:r>
      <w:r w:rsidR="009701D6" w:rsidRPr="002E41EC">
        <w:t xml:space="preserve">за последние </w:t>
      </w:r>
      <w:r w:rsidR="00702302" w:rsidRPr="002E41EC">
        <w:t>3</w:t>
      </w:r>
      <w:r w:rsidR="009701D6" w:rsidRPr="002E41EC">
        <w:t xml:space="preserve"> </w:t>
      </w:r>
      <w:r w:rsidR="00702302" w:rsidRPr="002E41EC">
        <w:t>года</w:t>
      </w:r>
      <w:r w:rsidR="009701D6" w:rsidRPr="002E41EC">
        <w:t>, аналогичных по предмету, видам, объему и суммам</w:t>
      </w:r>
      <w:r w:rsidR="00095016" w:rsidRPr="002E41EC">
        <w:t>,</w:t>
      </w:r>
      <w:r w:rsidR="009701D6" w:rsidRPr="002E41EC">
        <w:t xml:space="preserve"> оказываемых услуг, с приложением копий </w:t>
      </w:r>
      <w:r w:rsidR="00095016" w:rsidRPr="002E41EC">
        <w:t>договоров</w:t>
      </w:r>
      <w:r w:rsidR="00702302" w:rsidRPr="002E41EC">
        <w:t xml:space="preserve"> не менее одного, но не бол</w:t>
      </w:r>
      <w:r w:rsidR="0074644C" w:rsidRPr="002E41EC">
        <w:t>ее десяти,</w:t>
      </w:r>
      <w:r w:rsidR="00702302" w:rsidRPr="002E41EC">
        <w:t xml:space="preserve"> которые по мнению</w:t>
      </w:r>
      <w:r w:rsidR="0074644C" w:rsidRPr="002E41EC">
        <w:t xml:space="preserve"> участника</w:t>
      </w:r>
      <w:r w:rsidR="00702302" w:rsidRPr="002E41EC">
        <w:t>, наилучшим образом характеризуют его опыт.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</w:t>
      </w:r>
      <w:r w:rsidR="00D13498" w:rsidRPr="002E41EC">
        <w:t xml:space="preserve">. </w:t>
      </w:r>
      <w:r w:rsidR="008F3CDB" w:rsidRPr="002E41EC">
        <w:t xml:space="preserve">Участник закупки предоставляет </w:t>
      </w:r>
      <w:r w:rsidR="008F3CDB" w:rsidRPr="002E41EC">
        <w:lastRenderedPageBreak/>
        <w:t>копию справки об исполнении налогоплательщиком (плательщиком сбора, налоговым агентом) обязанности по уплате налогов, сборов, пеней, штрафов, процентов, выданную не ранее чем за 30 дней до срока окончания подачи заявок.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>Отсутствие процесса банкротства или ликвидации</w:t>
      </w:r>
      <w:r w:rsidR="00D13498" w:rsidRPr="002E41EC">
        <w:t>.</w:t>
      </w:r>
      <w:r w:rsidR="00C258E9" w:rsidRPr="002E41EC">
        <w:t xml:space="preserve"> </w:t>
      </w:r>
      <w:r w:rsidR="00D13498" w:rsidRPr="002E41EC">
        <w:t>Для участия в закупках</w:t>
      </w:r>
      <w:r w:rsidR="00C258E9" w:rsidRPr="002E41EC">
        <w:t xml:space="preserve"> предоставить справку за последние 6 месяцев</w:t>
      </w:r>
      <w:r w:rsidRPr="002E41EC">
        <w:t>.</w:t>
      </w:r>
      <w:r w:rsidR="008F3CDB" w:rsidRPr="002E41EC">
        <w:t xml:space="preserve"> Данная информация предоставляется в произвольно форме.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>Деятельность не должна быть приостановлена в порядке, предусмотренном Кодексом РФ об административных нарушениях</w:t>
      </w:r>
      <w:r w:rsidR="00D13498" w:rsidRPr="002E41EC">
        <w:t>.</w:t>
      </w:r>
      <w:r w:rsidR="00C258E9" w:rsidRPr="002E41EC">
        <w:t xml:space="preserve"> </w:t>
      </w:r>
      <w:r w:rsidR="00D13498" w:rsidRPr="002E41EC">
        <w:t>Для участия в закупках</w:t>
      </w:r>
      <w:r w:rsidR="00C258E9" w:rsidRPr="002E41EC">
        <w:t xml:space="preserve"> предоставить справку за последние 6 месяцев.</w:t>
      </w:r>
      <w:r w:rsidR="008F3CDB" w:rsidRPr="002E41EC">
        <w:t xml:space="preserve"> Данная информация предоставляется в произвольно форме.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jc w:val="both"/>
      </w:pPr>
      <w:r w:rsidRPr="002E41EC">
        <w:t xml:space="preserve">Наличие </w:t>
      </w:r>
      <w:r w:rsidR="00EF69F8" w:rsidRPr="002E41EC">
        <w:t>лицензии на право оказания услуг по проведени</w:t>
      </w:r>
      <w:r w:rsidR="00D13498" w:rsidRPr="002E41EC">
        <w:t>ю</w:t>
      </w:r>
      <w:r w:rsidR="00EF69F8" w:rsidRPr="002E41EC">
        <w:t xml:space="preserve"> предварительных (при приеме на работу), периодических мед</w:t>
      </w:r>
      <w:r w:rsidR="009711E3" w:rsidRPr="002E41EC">
        <w:t>ицинских о</w:t>
      </w:r>
      <w:r w:rsidR="00EF69F8" w:rsidRPr="002E41EC">
        <w:t>смотров.</w:t>
      </w:r>
      <w:r w:rsidR="00DB259F" w:rsidRPr="002E41EC">
        <w:t xml:space="preserve"> В перечне работ, указанных в Лицензии на осуществление медицинской деятельности, должны быть отражены также работы и услуги по терапии, офтальмологии, оториноларингологии, неврологии, </w:t>
      </w:r>
      <w:proofErr w:type="spellStart"/>
      <w:r w:rsidR="00DB259F" w:rsidRPr="002E41EC">
        <w:t>дерматовенерологии</w:t>
      </w:r>
      <w:proofErr w:type="spellEnd"/>
      <w:r w:rsidR="00DB259F" w:rsidRPr="002E41EC">
        <w:t xml:space="preserve">, хирургии, психиатрии-наркологии, гинекологии. </w:t>
      </w:r>
      <w:r w:rsidR="009711E3" w:rsidRPr="002E41EC">
        <w:t>Для участия в закупках предоставить копии</w:t>
      </w:r>
      <w:r w:rsidRPr="002E41EC">
        <w:t xml:space="preserve"> действующих лицензий.</w:t>
      </w:r>
    </w:p>
    <w:p w:rsidR="008D6D92" w:rsidRPr="002E41EC" w:rsidRDefault="00CF748A" w:rsidP="00AF3245">
      <w:pPr>
        <w:pStyle w:val="22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jc w:val="both"/>
      </w:pPr>
      <w:r w:rsidRPr="002E41EC">
        <w:t>Наличие необходимого диагностического оборудования</w:t>
      </w:r>
      <w:r w:rsidR="00BD7302" w:rsidRPr="002E41EC">
        <w:t xml:space="preserve"> для функциональных исследований </w:t>
      </w:r>
      <w:r w:rsidRPr="002E41EC">
        <w:t>качественного проведения медицинского осмотра работников в соответстви</w:t>
      </w:r>
      <w:r w:rsidR="000D25B4" w:rsidRPr="002E41EC">
        <w:t>и</w:t>
      </w:r>
      <w:r w:rsidRPr="002E41EC">
        <w:t xml:space="preserve"> с действующими нормативными правовыми актами.</w:t>
      </w:r>
    </w:p>
    <w:p w:rsidR="00852DD5" w:rsidRPr="002E41EC" w:rsidRDefault="00C20D35" w:rsidP="00B25C5E">
      <w:pPr>
        <w:pStyle w:val="22"/>
        <w:numPr>
          <w:ilvl w:val="0"/>
          <w:numId w:val="2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>Наличие в медицинском учреждении</w:t>
      </w:r>
      <w:r w:rsidR="002F15CD" w:rsidRPr="002E41EC">
        <w:t xml:space="preserve"> </w:t>
      </w:r>
      <w:r w:rsidRPr="002E41EC">
        <w:t xml:space="preserve">или учреждении соисполнителя по адресу места проведения медицинских осмотров </w:t>
      </w:r>
      <w:r w:rsidR="002F15CD" w:rsidRPr="002E41EC">
        <w:t>медицинской лаборатории, аккредитованной в установленном порядке</w:t>
      </w:r>
      <w:r w:rsidR="0020614D" w:rsidRPr="002E41EC">
        <w:t xml:space="preserve">, для </w:t>
      </w:r>
      <w:r w:rsidR="00BD7302" w:rsidRPr="002E41EC">
        <w:t>выполнения полного объема лабораторных исследований</w:t>
      </w:r>
      <w:r w:rsidR="002F15CD" w:rsidRPr="002E41EC">
        <w:t xml:space="preserve">, необходимые при </w:t>
      </w:r>
      <w:r w:rsidR="00ED1D22" w:rsidRPr="002E41EC">
        <w:t>проведении медицинских осмотров</w:t>
      </w:r>
      <w:r w:rsidR="002F15CD" w:rsidRPr="002E41EC">
        <w:t>.</w:t>
      </w:r>
      <w:r w:rsidR="008107D1" w:rsidRPr="002E41EC">
        <w:t xml:space="preserve"> </w:t>
      </w:r>
      <w:r w:rsidR="00C034B2" w:rsidRPr="002E41EC">
        <w:t>Лаборатория может находиться не по адресу проведения медицинских осмотров, но в составе мед.</w:t>
      </w:r>
      <w:r w:rsidR="00B25C5E" w:rsidRPr="002E41EC">
        <w:t xml:space="preserve"> </w:t>
      </w:r>
      <w:r w:rsidR="00C034B2" w:rsidRPr="002E41EC">
        <w:t xml:space="preserve">учреждения и быть его подразделением. </w:t>
      </w:r>
      <w:r w:rsidR="008107D1" w:rsidRPr="002E41EC">
        <w:t>Для участия в закупках предоставить копии действующих лицензий</w:t>
      </w:r>
      <w:r w:rsidR="00852DD5" w:rsidRPr="002E41EC">
        <w:t>. При отсутствии медицинской лаборатории для выполнения полного объема лабораторных исследований должны быть действующие договоры, заключенные с медицинскими организациями, на проведение лабораторных исследований биологического материала пациентов, в данном случае следует указать медицинские организации в качестве соисполнителей и предоставить на каждую организацию полный пакет документов согласно п. 1.6.3 документации о закупке и Приложению № 2 к части IV «Информационная карта закупки» документации о закупке.</w:t>
      </w:r>
    </w:p>
    <w:p w:rsidR="002F15CD" w:rsidRPr="002E41EC" w:rsidRDefault="002F15CD" w:rsidP="00C034B2">
      <w:pPr>
        <w:pStyle w:val="22"/>
        <w:numPr>
          <w:ilvl w:val="0"/>
          <w:numId w:val="2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 xml:space="preserve">Наличие </w:t>
      </w:r>
      <w:r w:rsidR="00A573B5" w:rsidRPr="002E41EC">
        <w:t xml:space="preserve">в медицинском учреждении </w:t>
      </w:r>
      <w:r w:rsidR="00F53FB4" w:rsidRPr="002E41EC">
        <w:t xml:space="preserve">или учреждении соисполнителя по адресу места проведения медицинских осмотров диагностического оборудования </w:t>
      </w:r>
      <w:r w:rsidR="00C034B2" w:rsidRPr="002E41EC">
        <w:t>–</w:t>
      </w:r>
      <w:r w:rsidR="00F53FB4" w:rsidRPr="002E41EC">
        <w:t xml:space="preserve"> </w:t>
      </w:r>
      <w:proofErr w:type="spellStart"/>
      <w:r w:rsidR="00A573B5" w:rsidRPr="002E41EC">
        <w:t>флюорографа</w:t>
      </w:r>
      <w:proofErr w:type="spellEnd"/>
      <w:r w:rsidR="00C034B2" w:rsidRPr="002E41EC">
        <w:t>, который</w:t>
      </w:r>
      <w:r w:rsidR="008107D1" w:rsidRPr="002E41EC">
        <w:t xml:space="preserve"> </w:t>
      </w:r>
      <w:r w:rsidR="00C034B2" w:rsidRPr="002E41EC">
        <w:t xml:space="preserve">может находиться не по адресу проведения медицинских осмотров, но в составе </w:t>
      </w:r>
      <w:proofErr w:type="spellStart"/>
      <w:r w:rsidR="00C034B2" w:rsidRPr="002E41EC">
        <w:t>мед.учреждения</w:t>
      </w:r>
      <w:proofErr w:type="spellEnd"/>
      <w:r w:rsidR="00C034B2" w:rsidRPr="002E41EC">
        <w:t xml:space="preserve"> и быть его подразделением.</w:t>
      </w:r>
      <w:r w:rsidR="00852DD5" w:rsidRPr="002E41EC">
        <w:t xml:space="preserve"> При отсутствии </w:t>
      </w:r>
      <w:proofErr w:type="spellStart"/>
      <w:r w:rsidR="00852DD5" w:rsidRPr="002E41EC">
        <w:t>флюорографа</w:t>
      </w:r>
      <w:proofErr w:type="spellEnd"/>
      <w:r w:rsidR="00852DD5" w:rsidRPr="002E41EC">
        <w:t xml:space="preserve"> должны быть действующие договоры, заключенные с медицинскими организациями на проведение флюорографии и в данном случае следует указать медицинские организации в качестве соисполнителей и предоставить на каждую организацию полный пакет документов согласно п. 1.6.3 документации о закупке и Приложению № 2 к части IV «Информационная карта закупки» документации о закупке.</w:t>
      </w:r>
    </w:p>
    <w:p w:rsidR="00A573B5" w:rsidRPr="002E41EC" w:rsidRDefault="00F53FB4" w:rsidP="00C034B2">
      <w:pPr>
        <w:pStyle w:val="22"/>
        <w:numPr>
          <w:ilvl w:val="0"/>
          <w:numId w:val="2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 xml:space="preserve">Наличие в медицинском учреждении или учреждении соисполнителя по адресу места проведения медицинских осмотров диагностического оборудования - </w:t>
      </w:r>
      <w:proofErr w:type="spellStart"/>
      <w:r w:rsidR="00A573B5" w:rsidRPr="002E41EC">
        <w:t>маммографа</w:t>
      </w:r>
      <w:proofErr w:type="spellEnd"/>
      <w:r w:rsidR="00C034B2" w:rsidRPr="002E41EC">
        <w:t>, который может находиться не по адресу проведения медицинских осмотров, но в составе мед.</w:t>
      </w:r>
      <w:r w:rsidR="00AF3245" w:rsidRPr="002E41EC">
        <w:t xml:space="preserve"> </w:t>
      </w:r>
      <w:r w:rsidR="00C034B2" w:rsidRPr="002E41EC">
        <w:t>учреждения и быть его подразделением.</w:t>
      </w:r>
      <w:r w:rsidR="00852DD5" w:rsidRPr="002E41EC">
        <w:t xml:space="preserve"> При отсутствии </w:t>
      </w:r>
      <w:proofErr w:type="spellStart"/>
      <w:r w:rsidR="00852DD5" w:rsidRPr="002E41EC">
        <w:t>маммографа</w:t>
      </w:r>
      <w:proofErr w:type="spellEnd"/>
      <w:r w:rsidR="00852DD5" w:rsidRPr="002E41EC">
        <w:t xml:space="preserve"> должны быть действующие договоры на проведение маммографии, заключенные с медицинскими организациями и в данном случае следует указать медицинские организации в качестве соисполнителей и предоставить на каждую организацию полный пакет документов согласно п. 1.6.3 документации о закупке и Приложению № 2 к части IV «Информационная карта закупки» документации о закупке.</w:t>
      </w:r>
    </w:p>
    <w:p w:rsidR="00600D56" w:rsidRPr="002E41EC" w:rsidRDefault="00CF748A" w:rsidP="00C034B2">
      <w:pPr>
        <w:pStyle w:val="22"/>
        <w:numPr>
          <w:ilvl w:val="0"/>
          <w:numId w:val="2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>Наличие в штате врача-</w:t>
      </w:r>
      <w:proofErr w:type="spellStart"/>
      <w:r w:rsidRPr="002E41EC">
        <w:t>профпатолога</w:t>
      </w:r>
      <w:proofErr w:type="spellEnd"/>
      <w:r w:rsidRPr="002E41EC">
        <w:t xml:space="preserve">, профильных специалистов, таких как врач-терапевт, </w:t>
      </w:r>
      <w:r w:rsidR="00ED1D22" w:rsidRPr="002E41EC">
        <w:br/>
        <w:t>в</w:t>
      </w:r>
      <w:r w:rsidRPr="002E41EC">
        <w:t>рач</w:t>
      </w:r>
      <w:r w:rsidR="00ED1D22" w:rsidRPr="002E41EC">
        <w:t xml:space="preserve"> </w:t>
      </w:r>
      <w:r w:rsidRPr="002E41EC">
        <w:t>- нарколог, врач</w:t>
      </w:r>
      <w:r w:rsidR="00ED1D22" w:rsidRPr="002E41EC">
        <w:t xml:space="preserve"> </w:t>
      </w:r>
      <w:r w:rsidRPr="002E41EC">
        <w:t>-</w:t>
      </w:r>
      <w:r w:rsidR="00ED1D22" w:rsidRPr="002E41EC">
        <w:t xml:space="preserve"> </w:t>
      </w:r>
      <w:r w:rsidRPr="002E41EC">
        <w:t>психиатр, акушер</w:t>
      </w:r>
      <w:r w:rsidR="00ED1D22" w:rsidRPr="002E41EC">
        <w:t xml:space="preserve"> </w:t>
      </w:r>
      <w:r w:rsidRPr="002E41EC">
        <w:t>-</w:t>
      </w:r>
      <w:r w:rsidR="00ED1D22" w:rsidRPr="002E41EC">
        <w:t xml:space="preserve"> </w:t>
      </w:r>
      <w:r w:rsidRPr="002E41EC">
        <w:t xml:space="preserve">гинеколог и других необходимых в соответствии с Приказом </w:t>
      </w:r>
      <w:proofErr w:type="spellStart"/>
      <w:r w:rsidRPr="002E41EC">
        <w:t>Минздравсоцразвития</w:t>
      </w:r>
      <w:proofErr w:type="spellEnd"/>
      <w:r w:rsidRPr="002E41EC">
        <w:t xml:space="preserve"> РФ от 12.04.2011 № 302н. Врач</w:t>
      </w:r>
      <w:r w:rsidR="00ED1D22" w:rsidRPr="002E41EC">
        <w:t xml:space="preserve"> </w:t>
      </w:r>
      <w:r w:rsidRPr="002E41EC">
        <w:t>-</w:t>
      </w:r>
      <w:r w:rsidR="00ED1D22" w:rsidRPr="002E41EC">
        <w:t xml:space="preserve"> </w:t>
      </w:r>
      <w:proofErr w:type="spellStart"/>
      <w:r w:rsidRPr="002E41EC">
        <w:t>профпатолог</w:t>
      </w:r>
      <w:proofErr w:type="spellEnd"/>
      <w:r w:rsidRPr="002E41EC">
        <w:t xml:space="preserve"> должен иметь послевузовское профессиональное образование</w:t>
      </w:r>
      <w:r w:rsidR="00ED1D22" w:rsidRPr="002E41EC">
        <w:t xml:space="preserve">, </w:t>
      </w:r>
      <w:r w:rsidRPr="002E41EC">
        <w:t>или профессиональную переподготовку по специальности «</w:t>
      </w:r>
      <w:proofErr w:type="spellStart"/>
      <w:r w:rsidRPr="002E41EC">
        <w:t>профпатология</w:t>
      </w:r>
      <w:proofErr w:type="spellEnd"/>
      <w:r w:rsidRPr="002E41EC">
        <w:t xml:space="preserve">», </w:t>
      </w:r>
      <w:r w:rsidR="007B1E4C" w:rsidRPr="002E41EC">
        <w:t xml:space="preserve">сертификат </w:t>
      </w:r>
      <w:r w:rsidRPr="002E41EC">
        <w:t>по специальности «</w:t>
      </w:r>
      <w:proofErr w:type="spellStart"/>
      <w:r w:rsidRPr="002E41EC">
        <w:t>Профпатология</w:t>
      </w:r>
      <w:proofErr w:type="spellEnd"/>
      <w:r w:rsidRPr="002E41EC">
        <w:t>», действующ</w:t>
      </w:r>
      <w:r w:rsidR="004A7082" w:rsidRPr="002E41EC">
        <w:t>ий</w:t>
      </w:r>
      <w:r w:rsidR="00C034B2" w:rsidRPr="002E41EC">
        <w:t xml:space="preserve"> на момент подачи заявки.</w:t>
      </w:r>
      <w:r w:rsidR="00FB6C25" w:rsidRPr="002E41EC">
        <w:t xml:space="preserve"> Состав врачебной комиссии должен быть утверждён приказом (распоряжением) руководителя медицинской организации.</w:t>
      </w:r>
      <w:r w:rsidR="00892C97" w:rsidRPr="002E41EC">
        <w:t xml:space="preserve"> </w:t>
      </w:r>
      <w:r w:rsidR="00600D56" w:rsidRPr="002E41EC">
        <w:t>Для участия в закупках предоставить:</w:t>
      </w:r>
    </w:p>
    <w:p w:rsidR="00600D56" w:rsidRPr="002E41EC" w:rsidRDefault="00600D56" w:rsidP="00600D56">
      <w:pPr>
        <w:pStyle w:val="22"/>
        <w:numPr>
          <w:ilvl w:val="0"/>
          <w:numId w:val="5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 xml:space="preserve">копию приказа (распоряжения) утверждения врачебной комиссии, </w:t>
      </w:r>
    </w:p>
    <w:p w:rsidR="00600D56" w:rsidRPr="002E41EC" w:rsidRDefault="00600D56" w:rsidP="00600D56">
      <w:pPr>
        <w:pStyle w:val="22"/>
        <w:numPr>
          <w:ilvl w:val="0"/>
          <w:numId w:val="5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 xml:space="preserve">сертификаты врача </w:t>
      </w:r>
      <w:proofErr w:type="spellStart"/>
      <w:r w:rsidRPr="002E41EC">
        <w:t>профпатолога</w:t>
      </w:r>
      <w:proofErr w:type="spellEnd"/>
      <w:r w:rsidRPr="002E41EC">
        <w:t xml:space="preserve"> и профильных специалистов,</w:t>
      </w:r>
    </w:p>
    <w:p w:rsidR="00600D56" w:rsidRPr="002E41EC" w:rsidRDefault="00892C97" w:rsidP="00C034B2">
      <w:pPr>
        <w:pStyle w:val="22"/>
        <w:numPr>
          <w:ilvl w:val="0"/>
          <w:numId w:val="5"/>
        </w:numPr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 xml:space="preserve">копии трудовых книжек (первая страница и листы с записями о настоящем и предыдущем месте работы) на </w:t>
      </w:r>
      <w:r w:rsidR="008A3CED" w:rsidRPr="002E41EC">
        <w:t xml:space="preserve">профильных специалистов и врача </w:t>
      </w:r>
      <w:proofErr w:type="spellStart"/>
      <w:r w:rsidR="008A3CED" w:rsidRPr="002E41EC">
        <w:t>профпатолога</w:t>
      </w:r>
      <w:proofErr w:type="spellEnd"/>
      <w:r w:rsidRPr="002E41EC">
        <w:t>, или копии договоров гражданско-правового характера, заключенных на срок, превышающий период выполнения работ/оказание услуг по договору</w:t>
      </w:r>
      <w:r w:rsidR="00C034B2" w:rsidRPr="002E41EC">
        <w:t>, или копии трудовых договоров.</w:t>
      </w:r>
    </w:p>
    <w:p w:rsidR="00904ECC" w:rsidRPr="002E41EC" w:rsidRDefault="00D264ED" w:rsidP="0072447D">
      <w:pPr>
        <w:pStyle w:val="22"/>
        <w:shd w:val="clear" w:color="auto" w:fill="auto"/>
        <w:tabs>
          <w:tab w:val="left" w:pos="568"/>
        </w:tabs>
        <w:spacing w:line="240" w:lineRule="auto"/>
        <w:jc w:val="both"/>
      </w:pPr>
      <w:r w:rsidRPr="002E41EC">
        <w:t>1</w:t>
      </w:r>
      <w:r w:rsidR="00ED1D22" w:rsidRPr="002E41EC">
        <w:t>3</w:t>
      </w:r>
      <w:r w:rsidRPr="002E41EC">
        <w:t xml:space="preserve">) </w:t>
      </w:r>
      <w:r w:rsidR="00CF748A" w:rsidRPr="002E41EC">
        <w:t xml:space="preserve">Медицинская организация на основании указанных в Поименном списке вредных производственных </w:t>
      </w:r>
      <w:r w:rsidR="00CF748A" w:rsidRPr="002E41EC">
        <w:lastRenderedPageBreak/>
        <w:t xml:space="preserve">факторов или работ определяет необходимость участия в периодических осмотрах соответствующих врачей-специалистов, а также виды и объёмы необходимых лабораторных и функциональных исследований в соответствии с Приказом № 302н. </w:t>
      </w:r>
      <w:r w:rsidR="00D96558" w:rsidRPr="002E41EC">
        <w:t>Календарный план согласовывается медицинской организацией с работодателем (его представителем) и утверждается руководителем медицинской организации.</w:t>
      </w:r>
    </w:p>
    <w:p w:rsidR="008D6D92" w:rsidRPr="002E41EC" w:rsidRDefault="006D52CC" w:rsidP="00904ECC">
      <w:pPr>
        <w:pStyle w:val="22"/>
        <w:shd w:val="clear" w:color="auto" w:fill="auto"/>
        <w:spacing w:line="240" w:lineRule="auto"/>
        <w:jc w:val="both"/>
      </w:pPr>
      <w:r w:rsidRPr="002E41EC">
        <w:t>1</w:t>
      </w:r>
      <w:r w:rsidR="00904ECC" w:rsidRPr="002E41EC">
        <w:t>4</w:t>
      </w:r>
      <w:r w:rsidRPr="002E41EC">
        <w:t xml:space="preserve">) </w:t>
      </w:r>
      <w:r w:rsidR="00CF748A" w:rsidRPr="002E41EC">
        <w:t xml:space="preserve">Медицинская организация своими силами осуществляет контроль за полнотой медицинского осмотра и извещает </w:t>
      </w:r>
      <w:r w:rsidR="00D96558" w:rsidRPr="002E41EC">
        <w:t xml:space="preserve">филиал ПАО «МРСК Центра – «Орелэнерго» </w:t>
      </w:r>
      <w:r w:rsidR="00CF748A" w:rsidRPr="002E41EC">
        <w:t>о дополнительных методах обследования, необходимых для завершения медосмотра.</w:t>
      </w:r>
    </w:p>
    <w:p w:rsidR="00A07E2C" w:rsidRPr="002E41EC" w:rsidRDefault="00A07E2C" w:rsidP="00904ECC">
      <w:pPr>
        <w:pStyle w:val="22"/>
        <w:shd w:val="clear" w:color="auto" w:fill="auto"/>
        <w:spacing w:line="240" w:lineRule="auto"/>
        <w:jc w:val="both"/>
      </w:pPr>
      <w:r w:rsidRPr="002E41EC">
        <w:t>По окончании прохождения работником периодического осмотра медицинской организацией оформляется медицинское заключение в порядке, установленном пунктами 12 и 13 Приказа № 302н</w:t>
      </w:r>
      <w:r w:rsidR="001D26AF" w:rsidRPr="002E41EC">
        <w:t>.</w:t>
      </w:r>
    </w:p>
    <w:p w:rsidR="001D26AF" w:rsidRPr="002E41EC" w:rsidRDefault="001D26AF" w:rsidP="00904ECC">
      <w:pPr>
        <w:pStyle w:val="22"/>
        <w:shd w:val="clear" w:color="auto" w:fill="auto"/>
        <w:spacing w:line="240" w:lineRule="auto"/>
        <w:jc w:val="both"/>
      </w:pPr>
      <w:r w:rsidRPr="002E41EC">
        <w:t>Экземпляр заключения не позднее 5 рабочих дней направляется работодателю по адресу, указанному в договоре.</w:t>
      </w:r>
    </w:p>
    <w:p w:rsidR="00053F2C" w:rsidRPr="002E41EC" w:rsidRDefault="00053F2C" w:rsidP="00904ECC">
      <w:pPr>
        <w:pStyle w:val="22"/>
        <w:shd w:val="clear" w:color="auto" w:fill="auto"/>
        <w:spacing w:line="240" w:lineRule="auto"/>
        <w:jc w:val="both"/>
      </w:pPr>
      <w:r w:rsidRPr="002E41EC">
        <w:t>Работнику (по его желанию) выдается на руки выписка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реабилитации.</w:t>
      </w:r>
    </w:p>
    <w:p w:rsidR="001D26AF" w:rsidRPr="002E41EC" w:rsidRDefault="006D52CC" w:rsidP="00904ECC">
      <w:pPr>
        <w:pStyle w:val="22"/>
        <w:shd w:val="clear" w:color="auto" w:fill="auto"/>
        <w:spacing w:line="240" w:lineRule="auto"/>
        <w:jc w:val="both"/>
      </w:pPr>
      <w:r w:rsidRPr="002E41EC">
        <w:t>1</w:t>
      </w:r>
      <w:r w:rsidR="00904ECC" w:rsidRPr="002E41EC">
        <w:t>5</w:t>
      </w:r>
      <w:r w:rsidRPr="002E41EC">
        <w:t xml:space="preserve">) </w:t>
      </w:r>
      <w:r w:rsidR="00A07E2C" w:rsidRPr="002E41EC">
        <w:t xml:space="preserve">В случае выявления у работника противопоказаний к работе с вредными и (или) опасными условиями труда, медицинская организация </w:t>
      </w:r>
      <w:r w:rsidR="001D26AF" w:rsidRPr="002E41EC">
        <w:t>извещает об этом работодателя</w:t>
      </w:r>
      <w:r w:rsidR="00BB50FB" w:rsidRPr="002E41EC">
        <w:t xml:space="preserve"> и</w:t>
      </w:r>
      <w:r w:rsidR="001D26AF" w:rsidRPr="002E41EC">
        <w:t xml:space="preserve"> не позднее дня принятия решения врачебной комиссией</w:t>
      </w:r>
      <w:r w:rsidR="00BB50FB" w:rsidRPr="002E41EC">
        <w:t>,</w:t>
      </w:r>
      <w:r w:rsidR="001D26AF" w:rsidRPr="002E41EC">
        <w:t xml:space="preserve"> </w:t>
      </w:r>
      <w:r w:rsidR="00BB50FB" w:rsidRPr="002E41EC">
        <w:t>направляет</w:t>
      </w:r>
      <w:r w:rsidR="001D26AF" w:rsidRPr="002E41EC">
        <w:t xml:space="preserve"> </w:t>
      </w:r>
      <w:r w:rsidR="00BB50FB" w:rsidRPr="002E41EC">
        <w:t xml:space="preserve">заключение </w:t>
      </w:r>
      <w:r w:rsidR="001D26AF" w:rsidRPr="002E41EC">
        <w:t>работодателю по адресу, указанному в договоре.</w:t>
      </w:r>
    </w:p>
    <w:p w:rsidR="00D264ED" w:rsidRPr="002E41EC" w:rsidRDefault="006D52CC" w:rsidP="00904ECC">
      <w:pPr>
        <w:pStyle w:val="22"/>
        <w:shd w:val="clear" w:color="auto" w:fill="auto"/>
        <w:tabs>
          <w:tab w:val="left" w:pos="1694"/>
          <w:tab w:val="left" w:pos="2678"/>
          <w:tab w:val="left" w:pos="4109"/>
          <w:tab w:val="left" w:pos="5534"/>
          <w:tab w:val="left" w:pos="6413"/>
          <w:tab w:val="left" w:pos="7622"/>
          <w:tab w:val="left" w:pos="9048"/>
          <w:tab w:val="left" w:pos="9379"/>
        </w:tabs>
        <w:spacing w:line="240" w:lineRule="auto"/>
        <w:jc w:val="both"/>
      </w:pPr>
      <w:r w:rsidRPr="002E41EC">
        <w:t>1</w:t>
      </w:r>
      <w:r w:rsidR="00904ECC" w:rsidRPr="002E41EC">
        <w:t>6</w:t>
      </w:r>
      <w:r w:rsidRPr="002E41EC">
        <w:t xml:space="preserve">) </w:t>
      </w:r>
      <w:r w:rsidR="00D264ED" w:rsidRPr="002E41EC">
        <w:t>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освидетельствования во врачебной комиссии, уполномоченной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здоровья.</w:t>
      </w:r>
    </w:p>
    <w:p w:rsidR="008D6D92" w:rsidRPr="002E41EC" w:rsidRDefault="006D52CC" w:rsidP="00AF3245">
      <w:pPr>
        <w:pStyle w:val="22"/>
        <w:shd w:val="clear" w:color="auto" w:fill="auto"/>
        <w:tabs>
          <w:tab w:val="left" w:pos="1694"/>
          <w:tab w:val="left" w:pos="2678"/>
          <w:tab w:val="left" w:pos="4109"/>
          <w:tab w:val="left" w:pos="5534"/>
          <w:tab w:val="left" w:pos="6413"/>
          <w:tab w:val="left" w:pos="7622"/>
          <w:tab w:val="left" w:pos="9048"/>
          <w:tab w:val="left" w:pos="9379"/>
        </w:tabs>
        <w:spacing w:line="240" w:lineRule="auto"/>
        <w:jc w:val="both"/>
      </w:pPr>
      <w:r w:rsidRPr="002E41EC">
        <w:t>1</w:t>
      </w:r>
      <w:r w:rsidR="00904ECC" w:rsidRPr="002E41EC">
        <w:t>7</w:t>
      </w:r>
      <w:r w:rsidRPr="002E41EC">
        <w:t xml:space="preserve">) </w:t>
      </w:r>
      <w:r w:rsidR="00CF748A" w:rsidRPr="002E41EC">
        <w:t>В случае подозрения о наличии у работника профессионального заболевания при проведении периодического</w:t>
      </w:r>
      <w:r w:rsidR="00CF748A" w:rsidRPr="002E41EC">
        <w:tab/>
        <w:t>осмотра</w:t>
      </w:r>
      <w:r w:rsidR="00CF748A" w:rsidRPr="002E41EC">
        <w:tab/>
        <w:t>медицинская</w:t>
      </w:r>
      <w:r w:rsidR="00CF748A" w:rsidRPr="002E41EC">
        <w:tab/>
        <w:t>организация</w:t>
      </w:r>
      <w:r w:rsidR="00CF748A" w:rsidRPr="002E41EC">
        <w:tab/>
        <w:t>выдает</w:t>
      </w:r>
      <w:r w:rsidR="00CF748A" w:rsidRPr="002E41EC">
        <w:tab/>
        <w:t>работнику</w:t>
      </w:r>
      <w:r w:rsidR="00CF748A" w:rsidRPr="002E41EC">
        <w:tab/>
        <w:t>направление</w:t>
      </w:r>
      <w:r w:rsidR="00CF748A" w:rsidRPr="002E41EC">
        <w:tab/>
        <w:t>в</w:t>
      </w:r>
      <w:r w:rsidR="00AF3245" w:rsidRPr="002E41EC">
        <w:t xml:space="preserve"> </w:t>
      </w:r>
      <w:r w:rsidR="00CF748A" w:rsidRPr="002E41EC">
        <w:t>центр</w:t>
      </w:r>
      <w:r w:rsidR="00AF3245" w:rsidRPr="002E41EC">
        <w:t xml:space="preserve"> </w:t>
      </w:r>
      <w:proofErr w:type="spellStart"/>
      <w:r w:rsidR="00CF748A" w:rsidRPr="002E41EC">
        <w:t>профпатологии</w:t>
      </w:r>
      <w:proofErr w:type="spellEnd"/>
      <w:r w:rsidR="00CF748A" w:rsidRPr="002E41EC">
        <w:t xml:space="preserve"> или специализированную медицинскую организацию, имеющую право на проведение экспертизы связи заболевания с профессией.</w:t>
      </w:r>
    </w:p>
    <w:p w:rsidR="008D6D92" w:rsidRPr="002E41EC" w:rsidRDefault="00CF748A" w:rsidP="00AF32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889"/>
        </w:tabs>
        <w:spacing w:before="120"/>
        <w:ind w:left="600"/>
      </w:pPr>
      <w:bookmarkStart w:id="4" w:name="bookmark4"/>
      <w:r w:rsidRPr="002E41EC">
        <w:t>Требования к результатам проведения медицинского осмотра</w:t>
      </w:r>
      <w:bookmarkEnd w:id="4"/>
    </w:p>
    <w:p w:rsidR="00D264ED" w:rsidRPr="002E41EC" w:rsidRDefault="00D264ED">
      <w:pPr>
        <w:pStyle w:val="22"/>
        <w:shd w:val="clear" w:color="auto" w:fill="auto"/>
        <w:ind w:firstLine="460"/>
        <w:jc w:val="both"/>
      </w:pPr>
      <w:r w:rsidRPr="002E41EC">
        <w:t>На основании результатов периодического осмотра определяется в установленном порядке принадлежность работника к одной из групп здоровья с последующим оформлением в медицинской карте пациента в медицинской организации, в которой проводился медицинский осмотр, рекомендаций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реабилитации. Результаты периодического осмотра могут использоваться работодателем при установлении принадлежности работника к одной из групп риска развития профессиональных заболеваний</w:t>
      </w:r>
      <w:r w:rsidR="006D52CC" w:rsidRPr="002E41EC">
        <w:t xml:space="preserve"> и приоритетности направления на санаторно-курортное лечения за счет средств работодателя.</w:t>
      </w:r>
      <w:r w:rsidRPr="002E41EC">
        <w:t>.</w:t>
      </w:r>
    </w:p>
    <w:p w:rsidR="008D6D92" w:rsidRPr="002E41EC" w:rsidRDefault="007E0063">
      <w:pPr>
        <w:pStyle w:val="22"/>
        <w:shd w:val="clear" w:color="auto" w:fill="auto"/>
        <w:ind w:firstLine="460"/>
        <w:jc w:val="both"/>
      </w:pPr>
      <w:r w:rsidRPr="002E41EC">
        <w:t>По итогам проведения осмотров медицинская организация не позднее чем через 30 дней после завершения периодического медицинского осмотра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</w:t>
      </w:r>
      <w:r w:rsidR="00D31795" w:rsidRPr="002E41EC">
        <w:t>, составляет заключительный акт</w:t>
      </w:r>
      <w:r w:rsidR="00CF748A" w:rsidRPr="002E41EC">
        <w:t>, в котором указывается информация в соответствии с п.43 Приказа №302н.</w:t>
      </w:r>
    </w:p>
    <w:p w:rsidR="008D6D92" w:rsidRPr="002E41EC" w:rsidRDefault="00CF748A" w:rsidP="00AF32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49"/>
        </w:tabs>
        <w:spacing w:before="120"/>
        <w:ind w:firstLine="460"/>
      </w:pPr>
      <w:bookmarkStart w:id="5" w:name="bookmark5"/>
      <w:r w:rsidRPr="002E41EC">
        <w:t>Гарантийные обязательства.</w:t>
      </w:r>
      <w:bookmarkEnd w:id="5"/>
    </w:p>
    <w:p w:rsidR="008D6D92" w:rsidRPr="002E41EC" w:rsidRDefault="00CF748A">
      <w:pPr>
        <w:pStyle w:val="22"/>
        <w:shd w:val="clear" w:color="auto" w:fill="auto"/>
        <w:ind w:firstLine="460"/>
        <w:jc w:val="both"/>
      </w:pPr>
      <w:r w:rsidRPr="002E41EC">
        <w:t>Периодический медицинский осмотр должен быть выполнен в установленные сроки и надлежащего качества.</w:t>
      </w:r>
    </w:p>
    <w:p w:rsidR="008D6D92" w:rsidRPr="002E41EC" w:rsidRDefault="00CF748A">
      <w:pPr>
        <w:pStyle w:val="22"/>
        <w:shd w:val="clear" w:color="auto" w:fill="auto"/>
        <w:ind w:firstLine="460"/>
        <w:jc w:val="both"/>
      </w:pPr>
      <w:r w:rsidRPr="002E41EC">
        <w:t>Качество выполняемых работ должно удовлетворять требованиям законодательства Российской Федерации, в том числе:</w:t>
      </w:r>
    </w:p>
    <w:p w:rsidR="008D6D92" w:rsidRPr="002E41EC" w:rsidRDefault="00CF748A">
      <w:pPr>
        <w:pStyle w:val="22"/>
        <w:numPr>
          <w:ilvl w:val="0"/>
          <w:numId w:val="3"/>
        </w:numPr>
        <w:shd w:val="clear" w:color="auto" w:fill="auto"/>
        <w:tabs>
          <w:tab w:val="left" w:pos="639"/>
        </w:tabs>
        <w:ind w:firstLine="460"/>
        <w:jc w:val="both"/>
      </w:pPr>
      <w:r w:rsidRPr="002E41EC">
        <w:t xml:space="preserve">Приказу Министерства Здравоохранения и Социального Развития Российской Федерации от 12 апреля 2011 г. №302н «Об утверждении перечней вредных и (или) опасных производственных факторов и </w:t>
      </w:r>
      <w:r w:rsidRPr="002E41EC">
        <w:lastRenderedPageBreak/>
        <w:t>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D6D92" w:rsidRPr="002E41EC" w:rsidRDefault="00CF748A">
      <w:pPr>
        <w:pStyle w:val="22"/>
        <w:numPr>
          <w:ilvl w:val="0"/>
          <w:numId w:val="3"/>
        </w:numPr>
        <w:shd w:val="clear" w:color="auto" w:fill="auto"/>
        <w:tabs>
          <w:tab w:val="left" w:pos="634"/>
        </w:tabs>
        <w:ind w:firstLine="460"/>
        <w:jc w:val="both"/>
      </w:pPr>
      <w:r w:rsidRPr="002E41EC">
        <w:t>Приказу Минздрава РФ от 29.06.00 №229 «О профессиональной гигиенической подготовке и аттестации должностных лиц и работников организаций».</w:t>
      </w:r>
    </w:p>
    <w:p w:rsidR="008D6D92" w:rsidRPr="002E41EC" w:rsidRDefault="00CF748A">
      <w:pPr>
        <w:pStyle w:val="22"/>
        <w:numPr>
          <w:ilvl w:val="0"/>
          <w:numId w:val="3"/>
        </w:numPr>
        <w:shd w:val="clear" w:color="auto" w:fill="auto"/>
        <w:tabs>
          <w:tab w:val="left" w:pos="634"/>
        </w:tabs>
        <w:ind w:firstLine="460"/>
        <w:jc w:val="both"/>
      </w:pPr>
      <w:r w:rsidRPr="002E41EC">
        <w:t>Методикам и технологиям, утвержденным медицинскими стандартами, ГОСТами, ТУ на данный вид услуг.</w:t>
      </w:r>
    </w:p>
    <w:p w:rsidR="008D6D92" w:rsidRPr="002E41EC" w:rsidRDefault="00CF748A">
      <w:pPr>
        <w:pStyle w:val="22"/>
        <w:shd w:val="clear" w:color="auto" w:fill="auto"/>
        <w:ind w:firstLine="460"/>
        <w:jc w:val="both"/>
      </w:pPr>
      <w:r w:rsidRPr="002E41EC">
        <w:t>Качество услуг должно соответствовать требованиям действующего законодательства Российской Федерации, существующим в Российской Федерации отраслевым стандартам диагностики и лечения, требованиям, предъявляемым к методам диагностики, профилактики и лечения, разрешенным на территории Российской Федерации.</w:t>
      </w:r>
    </w:p>
    <w:p w:rsidR="008D6D92" w:rsidRPr="002E41EC" w:rsidRDefault="00CF748A">
      <w:pPr>
        <w:pStyle w:val="22"/>
        <w:shd w:val="clear" w:color="auto" w:fill="auto"/>
        <w:ind w:firstLine="460"/>
        <w:jc w:val="both"/>
      </w:pPr>
      <w:r w:rsidRPr="002E41EC">
        <w:t>Исполнитель обязан правильно заносить результаты медосмотра в карту периодических медицинских осмотров.</w:t>
      </w:r>
    </w:p>
    <w:p w:rsidR="008D6D92" w:rsidRPr="002E41EC" w:rsidRDefault="00CF748A">
      <w:pPr>
        <w:pStyle w:val="22"/>
        <w:shd w:val="clear" w:color="auto" w:fill="auto"/>
        <w:spacing w:after="240"/>
        <w:ind w:firstLine="460"/>
        <w:jc w:val="both"/>
      </w:pPr>
      <w:r w:rsidRPr="002E41EC">
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течение 10 дней с момента вручения в письменном виде соответствующего требования.</w:t>
      </w:r>
    </w:p>
    <w:p w:rsidR="0072447D" w:rsidRPr="002E41EC" w:rsidRDefault="00AE691D">
      <w:pPr>
        <w:pStyle w:val="22"/>
        <w:shd w:val="clear" w:color="auto" w:fill="auto"/>
        <w:spacing w:after="240"/>
        <w:ind w:firstLine="460"/>
        <w:jc w:val="both"/>
      </w:pPr>
      <w:r w:rsidRPr="002E41EC">
        <w:t>Для участия в закупках предоставить - благодарственные письма, грамоты, дипломы, подтверждающие качество выполняемых работ/услуг.</w:t>
      </w:r>
    </w:p>
    <w:p w:rsidR="008D6D92" w:rsidRPr="002E41EC" w:rsidRDefault="00CF748A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firstLine="460"/>
      </w:pPr>
      <w:bookmarkStart w:id="6" w:name="bookmark6"/>
      <w:r w:rsidRPr="002E41EC">
        <w:t>Объём</w:t>
      </w:r>
      <w:r w:rsidR="007646CC" w:rsidRPr="002E41EC">
        <w:t xml:space="preserve"> </w:t>
      </w:r>
      <w:r w:rsidRPr="002E41EC">
        <w:t>услуг</w:t>
      </w:r>
      <w:bookmarkEnd w:id="6"/>
    </w:p>
    <w:p w:rsidR="008D6D92" w:rsidRPr="002E41EC" w:rsidRDefault="00CF748A">
      <w:pPr>
        <w:pStyle w:val="22"/>
        <w:shd w:val="clear" w:color="auto" w:fill="auto"/>
        <w:ind w:firstLine="460"/>
        <w:jc w:val="both"/>
      </w:pPr>
      <w:r w:rsidRPr="002E41EC">
        <w:t xml:space="preserve">Численность сотрудников </w:t>
      </w:r>
      <w:r w:rsidR="00E25F30" w:rsidRPr="002E41EC">
        <w:t>ПАО «МРСК Центра</w:t>
      </w:r>
      <w:r w:rsidR="00F67D85" w:rsidRPr="002E41EC">
        <w:t xml:space="preserve"> </w:t>
      </w:r>
      <w:r w:rsidR="00E25F30" w:rsidRPr="002E41EC">
        <w:t>- «Ор</w:t>
      </w:r>
      <w:r w:rsidR="00410510" w:rsidRPr="002E41EC">
        <w:t>е</w:t>
      </w:r>
      <w:r w:rsidR="00E25F30" w:rsidRPr="002E41EC">
        <w:t>лэнерго»</w:t>
      </w:r>
      <w:r w:rsidRPr="002E41EC">
        <w:t xml:space="preserve">, подлежащих периодическим медицинским осмотрам, на момент прохождения медицинского осмотра может отличаться от указанной в контингенте. </w:t>
      </w:r>
      <w:r w:rsidR="000D25B4" w:rsidRPr="002E41EC">
        <w:t>Общая о</w:t>
      </w:r>
      <w:r w:rsidRPr="002E41EC">
        <w:t>кончательная стоимость проведения медосмотра должна рассчитываться по факту прохождения медосмотра.</w:t>
      </w:r>
    </w:p>
    <w:p w:rsidR="008D6D92" w:rsidRPr="002E41EC" w:rsidRDefault="00CF748A">
      <w:pPr>
        <w:pStyle w:val="22"/>
        <w:shd w:val="clear" w:color="auto" w:fill="auto"/>
        <w:spacing w:after="299" w:line="307" w:lineRule="exact"/>
        <w:ind w:firstLine="560"/>
      </w:pPr>
      <w:r w:rsidRPr="002E41EC">
        <w:t xml:space="preserve">Контингент работников </w:t>
      </w:r>
      <w:r w:rsidR="00E25F30" w:rsidRPr="002E41EC">
        <w:t>ПАО «МРСК Центра</w:t>
      </w:r>
      <w:r w:rsidR="001977C6" w:rsidRPr="002E41EC">
        <w:t xml:space="preserve"> </w:t>
      </w:r>
      <w:r w:rsidR="00E25F30" w:rsidRPr="002E41EC">
        <w:t>- «Ор</w:t>
      </w:r>
      <w:r w:rsidR="00410510" w:rsidRPr="002E41EC">
        <w:t>е</w:t>
      </w:r>
      <w:r w:rsidR="00E25F30" w:rsidRPr="002E41EC">
        <w:t>лэнерго»</w:t>
      </w:r>
      <w:r w:rsidRPr="002E41EC">
        <w:t>, подлежащих периодическому медицинскому осмотру (обследованию)</w:t>
      </w:r>
      <w:r w:rsidR="00E25F30" w:rsidRPr="002E41EC">
        <w:t>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126"/>
        <w:gridCol w:w="3246"/>
        <w:gridCol w:w="850"/>
        <w:gridCol w:w="993"/>
        <w:gridCol w:w="1134"/>
      </w:tblGrid>
      <w:tr w:rsidR="00FE10F8" w:rsidRPr="00270EE7" w:rsidTr="002E41EC">
        <w:trPr>
          <w:trHeight w:val="554"/>
        </w:trPr>
        <w:tc>
          <w:tcPr>
            <w:tcW w:w="2000" w:type="dxa"/>
            <w:shd w:val="clear" w:color="auto" w:fill="auto"/>
            <w:vAlign w:val="center"/>
            <w:hideMark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Наименование рабочего места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(должности, профессии)</w:t>
            </w:r>
          </w:p>
        </w:tc>
        <w:tc>
          <w:tcPr>
            <w:tcW w:w="5372" w:type="dxa"/>
            <w:gridSpan w:val="2"/>
            <w:shd w:val="clear" w:color="auto" w:fill="auto"/>
            <w:vAlign w:val="center"/>
            <w:hideMark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Основание проведения медицинских осмотров, наименование вредного и (или) опасного производственного фактора.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E10F8" w:rsidRPr="00270EE7" w:rsidRDefault="00FE10F8" w:rsidP="002E41EC">
            <w:pPr>
              <w:widowControl/>
              <w:ind w:left="-108" w:right="-1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70EE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</w:t>
            </w:r>
            <w:r w:rsidRPr="00270EE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</w:t>
            </w:r>
            <w:r w:rsidR="002E41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270EE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FE10F8" w:rsidRPr="00270EE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 женщин до 40 лет</w:t>
            </w:r>
          </w:p>
        </w:tc>
        <w:tc>
          <w:tcPr>
            <w:tcW w:w="1134" w:type="dxa"/>
            <w:vAlign w:val="center"/>
          </w:tcPr>
          <w:p w:rsidR="00FE10F8" w:rsidRPr="00270EE7" w:rsidRDefault="00FE10F8" w:rsidP="002E41EC">
            <w:pPr>
              <w:widowControl/>
              <w:ind w:left="-108" w:right="-1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10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 том числе женщин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после</w:t>
            </w:r>
            <w:r w:rsidRPr="00FE10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40 лет</w:t>
            </w: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vAlign w:val="center"/>
            <w:hideMark/>
          </w:tcPr>
          <w:p w:rsidR="00FE10F8" w:rsidRPr="002E41EC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10F8" w:rsidRPr="002E41EC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</w:t>
            </w:r>
          </w:p>
        </w:tc>
        <w:tc>
          <w:tcPr>
            <w:tcW w:w="3246" w:type="dxa"/>
            <w:vAlign w:val="center"/>
          </w:tcPr>
          <w:p w:rsidR="00FE10F8" w:rsidRPr="002E41EC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E10F8" w:rsidRPr="002E41EC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2E41EC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</w:t>
            </w:r>
          </w:p>
        </w:tc>
        <w:tc>
          <w:tcPr>
            <w:tcW w:w="993" w:type="dxa"/>
            <w:vAlign w:val="center"/>
          </w:tcPr>
          <w:p w:rsidR="00FE10F8" w:rsidRPr="002E41EC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16"/>
                <w:szCs w:val="16"/>
                <w:lang w:bidi="ar-SA"/>
              </w:rPr>
            </w:pPr>
            <w:r w:rsidRPr="002E41EC">
              <w:rPr>
                <w:rFonts w:ascii="Arial CYR" w:eastAsia="Times New Roman" w:hAnsi="Arial CYR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1134" w:type="dxa"/>
            <w:vAlign w:val="center"/>
          </w:tcPr>
          <w:p w:rsidR="00FE10F8" w:rsidRPr="002E41EC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16"/>
                <w:szCs w:val="16"/>
                <w:lang w:bidi="ar-SA"/>
              </w:rPr>
            </w:pPr>
            <w:r w:rsidRPr="002E41EC">
              <w:rPr>
                <w:rFonts w:ascii="Arial CYR" w:eastAsia="Times New Roman" w:hAnsi="Arial CYR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Управление учета электроэнергии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993" w:type="dxa"/>
          </w:tcPr>
          <w:p w:rsidR="00FE10F8" w:rsidRPr="00AE7637" w:rsidRDefault="00FE10F8" w:rsidP="00AE7637">
            <w:pPr>
              <w:widowControl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AE7637">
            <w:pPr>
              <w:widowControl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Отдел эксплуатации и развития систем учета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993" w:type="dxa"/>
          </w:tcPr>
          <w:p w:rsidR="00FE10F8" w:rsidRPr="00AE7637" w:rsidRDefault="00FE10F8" w:rsidP="00AE7637">
            <w:pPr>
              <w:widowControl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AE7637">
            <w:pPr>
              <w:widowControl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7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отдела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8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Ведущий 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 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1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2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Служба диагностики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службы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1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Центральная диагностическая лаборатория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лаборатории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Ведущий 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2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6E6D34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Южный, Северный, Восточный участок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Ведущий 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51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Лаборант химического анализа (Лаборант химического анализа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п. 1.2.38. (1 раз в 2 года), п. 1.3.5. (1 раз в 1 год), прил. 2 п.2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Углеводороды ароматические: бензол КР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 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AD5F54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AD5F54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</w:tr>
      <w:tr w:rsidR="00FE10F8" w:rsidRPr="00AE7637" w:rsidTr="002E41EC">
        <w:trPr>
          <w:trHeight w:val="1677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испытаниям и измерениям (Электромонтер по испытаниям и измерениям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</w:t>
            </w:r>
            <w:r w:rsidR="002E41E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п.1 (1 раз в год), п. 2 (1 раз в 2 года), п. 27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электроустановках; управление наземными транспортными средствами.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Центр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управления сетями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Оперативно-технологическая служба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2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Старший 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8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Группа оперативного обслуживания подстанций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7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группы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Электромонтер по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обслуживaнию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подстанции (Электромонтер по обслуживанию подстанции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</w:t>
            </w:r>
            <w:r w:rsidR="002E41E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п.1 (1 раз в год), п. 2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Электромонтер по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обслуживaнию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подстанции (Электромонтер по обслуживанию подстанции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п.1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 xml:space="preserve">Электромонтер по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обслуживaнию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подстанции (Электромонтер по обслуживанию подстанции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</w:t>
            </w:r>
            <w:r w:rsidR="002E41E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п.1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9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Оперативно-выездная бригада № 1, № 2, № 3, № 4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п.1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1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п.1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8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 апреля 2011 г. N 302н, прил.2 </w:t>
            </w:r>
            <w:r w:rsidR="002E41E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п. 2. (1 раз в 2 года), п. 27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электроустановках; 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1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Служба релейной защиты, автоматики, измерений и метрологии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1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Отдел релейной защиты и противоаварийной автоматики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Южный, Северный, Восточный участок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Ведущий инженер (Ведущий инженер по релейной защите и автоматике)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D53C7D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по релейной защите и автоматике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8439FC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Инженер (Инженер по релейной защите и автоматике)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D53C7D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по расчетам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по релейной защите и автоматике 2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D53C7D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по релейной защите и автоматике)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300EB9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по расчетам)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3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аппаратуры, релейной защиты и автоматики (Электромонтер по ремонту аппаратуры, релейной защиты и автоматики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 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8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аппаратуры, релейной защиты и автоматики (Электромонтер по ремонту аппаратуры, релейной защиты и автоматики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 апреля 2011 г. N 302н, прил.2  п.1 (1 раз в 1 год),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аппаратуры, релейной защиты и автоматики (Электромонтер по ремонту аппаратуры, релейной защиты и автоматики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300EB9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Отдел метрологии и качества электроэнергии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отдела (Начальник отдела - главный метролог)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Ведущий инженер по метрологии (Ведущий инженер-метролог)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по качеству (Инженер по качеству электроэнергии 2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по качеству (Инженер по качеству электроэнергии)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Измерительная лаборатория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лаборатории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Слесарь по калибровке средств измерений 6 разряда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Слесарь-ремонтник (Слесарь по ремонту средств измерений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300EB9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Слесарь по калибровке средств измерений 4 разряда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993" w:type="dxa"/>
          </w:tcPr>
          <w:p w:rsidR="00FE10F8" w:rsidRPr="00AE7637" w:rsidRDefault="00300EB9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9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Южный, Восточный, Северный участок метрологии и качества электроэнергии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по метрологии (Инженер-метролог)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D11C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</w:t>
            </w:r>
            <w:r w:rsidR="002D11CD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Инженер по качеству (Инженер по качеству электроэнергии)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Управление высоковольтных сетей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Служба подстанций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Южный, Восточный, Северный участок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Старший мастер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Мастер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41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Электрослесарь по ремонту оборудования распределительных устройств (Электрослесарь по ремонту оборудования распределительных устройств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 п. 1.3.5. (1 раз в 1 год), п. 4.1. (1 раз в год); прил.2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 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42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Электрослесарь по ремонту оборудования распределительных устройств (Электрослесарь по ремонту оборудования распределительных устройств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 п. 1.3.5. (1 раз в 1 год), п. 4.1. (1 раз в год);  прил.2 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 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62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Электрослесарь по ремонту оборудования распределительных устройств (Электрослесарь по ремонту оборудования распределительных устройств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 п. 1.3.5. (1 раз в 1 год), п. 1.1.4.8.2. (1 раз в 2 года), п. 3.3. (1 раз в 2 года), п. 4.1. (1 раз в год); прил. 2  п. 1. (1 раз в 1 год), п. 2. (1 раз в 2 года), п.5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. в сочетании с газовыми компонентами (озон, оксиды азота, углерода)ФКА; ультрафиолетовое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излучение;физические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83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Электрослесарь по ремонту оборудования распределительных устройств (Электрослесарь по ремонту оборудования распределительных устройств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 п. 1.3.5. (1 раз в 1 год), п. 4.1. (1 раз в год), п. 1.2.38. (1 раз в 2 года),  прил. 2 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 работы на высоте;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38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Электрослесарь по ремонту оборудования распределительных устройств (Электрослесарь по ремонту оборудования распределительных устройств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1.3.5. (1 раз в 1 год), п. 4.1. (1 раз в год);  прил.2,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84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Электрослесарь по ремонту оборудования распределительных устройств (Электрослесарь по ремонту оборудования распределительных устройств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1.3.5. (1 раз в 1 год), п. 4.1. (1 раз в год), п. 1.2.38. (1 раз в 2 года),  прил. 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, стирол и прочие); работы на высоте;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697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Аккумуляторщик (Аккумуляторщик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прил.1  п. 1.2.38. (1 раз в 2 года), п. 1.3.5. (1 раз в 1 год), 1.2.32.1. (1 раз в 2 года), п. 4.1. (1 раз в 1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 xml:space="preserve">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);серы оксиды,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кислоты;физические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696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Электрогазосварщик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Электрогазосварщик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  п. 1.1.4.8.2. (1 раз в 2 года), п. 3.3. (1 раз в 2 года); прил.2  п.2, п.5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. в сочетании с газовыми компонентами (озон, оксиды азота, углерода)ФКА; ультрафиолетовое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излучениеК;работы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электроустановках; работы, непосредственно связанные с обслуживанием сосудов, находящихся под давлением.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711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Электрогазосварщик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Электрогазосварщик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1.1.4.8.2. (1 раз в 2 года), п. 3.3. (1 раз в 2 года); прил.2, п.2, п.5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. в сочетании с газовыми компонентами (озон, оксиды азота, углерода)ФКА; ультрафиолетовое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излучениеК;работы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электроустановках; работы, непосредственно связанные с обслуживанием сосудов, находящихся под давлением.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Служба линий электропередачи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7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Мастер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  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на высоте, верхолазные работы; 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5541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Электромонтер по ремонту воздушных линий электропередачи (Электромонтер по ремонту воздушных линий электропередачи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1.2.14.2. (1 раз в 1 год), п. 1.3.5. (1 раз в 1 год), п. 1.1.4.8.2. (1 раз в 2 года), п. 3.3. (1 раз в 2 года), п. 4.1. (1 раз в 1 год); прил.2, п. 1. (1 раз в 1 год), п. 2. (1 раз в 2 года), п.5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прочие);Пропан-2-онР (ацетон);Смеси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 в сочетании с газовыми компонентами (озон, оксиды азота, углерода)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ФКА;Ультрафиолетовое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излучениеК;Физические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высоте, верхолазные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электроустановках;Работы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, непосредственно связанные с обслуживанием сосудов, находящихся под давлением.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556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воздушных линий электропередачи (Электромонтер по ремонту воздушных линий электропередачи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1.2.14.2. (1 раз в 1 год), п. 1.3.5. (1 раз в 1 год), п. 4.1. (1 раз в 1 год); прил.2,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прочие);Пропан-2-онР (ацетон);Смеси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высоте, верхолазные работы ;Работы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400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Электромонтер по ремонту воздушных линий электропередачи (Электромонтер по ремонту воздушных линий электропередачи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1.2.14.2. (1 раз в 1 год), п. 1.3.5. (1 раз в 1 год), п. 4.1. (1 раз в 1 год); прил.2,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прочие);Пропан-2-онР (ацетон);Смеси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высоте, верхолазные работы ;Работы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11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воздушных линий электропередачи (Электромонтер по ремонту воздушных линий электропередачи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1.2.14.2. (1 раз в 1 год), п. 1.3.5. (1 раз в 1 год), п. 4.1. (1 раз в 1 год); прил.2,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прочие);Пропан-2-онР (ацетон);Смеси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);Физические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высоте, верхолазные работы ;Работы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5586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Электромонтер по ремонту воздушных линий электропередачи (Электромонтер по ремонту воздушных линий электропередачи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1.2.14.2. (1 раз в 1 год), п. 1.3.5. (1 раз в 1 год), п. 1.1.4.8.2. (1 раз в 2 года), п. 3.3. (1 раз в 2 года), п. 4.1. (1 раз в 1 год); прил.2, п. 1. (1 раз в 1 год), п. 2. (1 раз в 2 года), п.5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стирол и прочие);Пропан-2-онР (ацетон);Смеси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 в сочетании с газовыми компонентами (озон, оксиды азота, углерода)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ФКА;Ультрафиолетовое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излучениеК;Физические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на высоте, верхолазные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электроустановках;Работы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, непосредственно связанные с обслуживанием сосудов, находящихся под давлением.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Административно-хозяйственный отдел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1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ремонту и обслуживанию электрооборудования (Электромонтер по ремонту и обслуживанию электрооборудования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962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Рабочий по комплексному обслуживанию и ремонту зданий (Рабочий по комплексному обслуживанию и ремонту зданий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3.5. (1 раз в 1 год); прил.2, п. 10.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шума;</w:t>
            </w:r>
            <w:r w:rsidR="00222B18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др.).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Служба механизации и транспорта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80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Водитель автомобиля (Водитель автомобиля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24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85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Водитель автомобиля (Водитель автомобиля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186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04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автовышки и автогидроподъемника (Машинист автовышки и автогидроподъемника 6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97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автовышки и автогидроподъемника (Машинист автовышки и автогидроподъемника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9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автовышки и автогидроподъемника (Машинист автовышки и автогидроподъемника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27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1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экскаватора (Машинист экскаватора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6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Тракторист (Тракторист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71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Тракторист (Тракторист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Управление наземными транспортными средствами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486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Слесарь по ремонту автомобилей (Слесарь по ремонту автомобилей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1.3.5. (1 раз в 1 год), п. 4.1. (1 раз в 1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пространстве). 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01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Слесарь по ремонту автомобилей (Слесарь по ремонту автомобилей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1.3.5. (1 раз в 1 год), п. 4.1. (1 раз в 1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пространстве). 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01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Слесарь по ремонту автомобилей (Слесарь по ремонту автомобилей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1.3.5. (1 раз в 1 год), п. 4.1. (1 раз в 1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); 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пространстве). 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крана автомобильного (Машинист крана автомобильного 6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4.1. (1 раз в 1 год);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 управление наземными транспортными средствами.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6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крана автомобильного (Машинист крана автомобильного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4.1. (1 раз в 1 год); прил.2, п. 27.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 управление наземными транспортными средствами.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5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крана (крановщик) (Машинист крана (крановщик) 6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4.1. (1 раз в 1 год); прил.2, п. 1.1.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в качестве крановщика (машиниста крана).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6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Машинист крана (крановщик) (Машинист крана (крановщик)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4.1. (1 раз в 1 год); прил.2, п. 1.1.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пространстве);работы в качестве крановщика (машиниста крана).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2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Отдел эксплуатации телекоммуникаций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479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Отдел эксплуатации информационных технологий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Начальник участка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Руководитель группы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30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диспетчерского оборудования и телеавтоматики (Электромонтер диспетчерского оборудования и телеавтоматики 6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диспетчерского оборудования и телеавтоматики (Электромонтер диспетчерского оборудования и телеавтоматики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диспетчерского оборудования и телеавтоматики (Электромонтер диспетчерского оборудования и телеавтоматики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255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bidi="ar-SA"/>
              </w:rPr>
              <w:t>Районы электрических сетей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района (Начальник района электрических сетей)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1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Главный инженер (Главный инженер района электрических сетей)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Заместитель начальника района (Заместитель начальника района электрических сетей по реализации услуг)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FE10F8" w:rsidRPr="00AE7637" w:rsidTr="002E41EC">
        <w:trPr>
          <w:trHeight w:val="122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Старший мастер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24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2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Мастер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7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Инженер (Инженер 1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53</w:t>
            </w:r>
          </w:p>
        </w:tc>
        <w:tc>
          <w:tcPr>
            <w:tcW w:w="993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134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Инженер (Инженер 2 категории)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Инженер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42</w:t>
            </w:r>
          </w:p>
        </w:tc>
        <w:tc>
          <w:tcPr>
            <w:tcW w:w="993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134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Начальник группы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2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Старший 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1.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Старший 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4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26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Диспетчер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8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прил.2,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года), п. 27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электроустановках; Управление наземными транспортными средствами.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прил.2,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5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оперативно-выездной бригады (Электромонтер оперативно-выездной бригады 5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прил.2,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8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испытаниям и измерениям (Электромонтер по испытаниям и измерениям 4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прил.2,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46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испытаниям и измерениям (Электромонтер по испытаниям и измерениям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Приказ Министерства здравоохранения и социального развития Российской Федерации от 12.04.2011 № 302н, прил.2, п.1 (1 раз в 1 год),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п. 2. (1 раз в 2 года), п. 27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электроустановках;управление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наземными транспортными средствами.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33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Электромонтер по эксплуатации электросчетчиков (Электромонтер по эксплуатации электросчетчиков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</w:t>
            </w:r>
            <w:r w:rsidR="002E41E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и от 12.04.2011 № 302н, прил.2 </w:t>
            </w: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п.1 (1 раз в 1 год), п. 2.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Работы на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высоте;Работы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48</w:t>
            </w:r>
          </w:p>
        </w:tc>
        <w:tc>
          <w:tcPr>
            <w:tcW w:w="993" w:type="dxa"/>
          </w:tcPr>
          <w:p w:rsidR="00FE10F8" w:rsidRPr="00AE7637" w:rsidRDefault="00954006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134" w:type="dxa"/>
          </w:tcPr>
          <w:p w:rsidR="00FE10F8" w:rsidRPr="00AE7637" w:rsidRDefault="00954006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</w:tr>
      <w:tr w:rsidR="00FE10F8" w:rsidRPr="00AE7637" w:rsidTr="002E41EC">
        <w:trPr>
          <w:trHeight w:val="1977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Рабочий по комплексному обслуживанию и ремонту зданий (Рабочий по комплексному обслуживанию и ремонту зданий 3 разряда)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прил.1, п. 1.2.38. (1 раз в 2 года), п. 1.3.5. (1 раз в год), п. 1.2.14.2. (1 раз в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Углеводороды ароматические: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бензолКР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его производные: (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толуолР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ксилолР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стирол и прочие);Смеси углеводородов: нефти,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бензиныР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керосины,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уайт-спиритР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мазуты, битумы, асфальты, каменноугольные и нефтяные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смолыК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пекиК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возгоны каменноугольных смол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пековК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масла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минеральныеК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(не полностью очищенные минеральные масла, сланцевые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смолыАК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маслаАК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);Кетоны, в том числе:Пропан-2-онР (ацетон).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7F4A6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</w:tr>
      <w:tr w:rsidR="00FE10F8" w:rsidRPr="00AE7637" w:rsidTr="002E41EC">
        <w:trPr>
          <w:trHeight w:val="824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lastRenderedPageBreak/>
              <w:t>Стропальщик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Приказ Министерства здравоохранения и социального развития Российской Федерации от 12.04.2011 № 302н, прил.2, п. 1. (1 раз в 1 год)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 Работы на высоте, верхолазные работы , а также работы по обслуживанию подъемных сооружений.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45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22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Электрогазосварщик</w:t>
            </w:r>
            <w:proofErr w:type="spellEnd"/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Приказ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Минздравсоцразвития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России №302н от 12 апреля 2011 г., Приложение 1,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п.п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1.1.4.8.2., 1.2.37 (1 раз в 2 года)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Сварочные аэрозоли, в том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числе:содержащие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менее 20%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марганцаРА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т.ч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в сочетании с газовыми компонентами (озон, оксиды азота, углерода)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ФКА;Углерод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оксидР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28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Электромонтер оперативно-выездной бригады (5разряд)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Приказ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Минздравсоцразвития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России №302н от 12 апреля 2011 г., Приложение 2, п. 2 (1 раз в 2 года).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21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Электромонтер оперативно-выездной бригады (3разряд)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Приказ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Минздравсоцразвития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России №302н от 12 апреля 2011 г., Приложение 2, п. 2 (1 раз в 2 года).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29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198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Электрослесарь по ремонту и обслуживанию автоматики и средств измерений (5 разряд)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Приказ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Минздравсоцразвития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России №302н от 12 апреля 2011 г., Приложение 2, п. 2 (1 раз в 2 года).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1303"/>
        </w:trPr>
        <w:tc>
          <w:tcPr>
            <w:tcW w:w="2000" w:type="dxa"/>
            <w:shd w:val="clear" w:color="auto" w:fill="auto"/>
            <w:hideMark/>
          </w:tcPr>
          <w:p w:rsidR="00FE10F8" w:rsidRPr="00AE7637" w:rsidRDefault="00FE10F8" w:rsidP="002E41EC">
            <w:pPr>
              <w:widowControl/>
              <w:ind w:right="-9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Электрослесарь по ремонту и обслуживанию автоматики и средств измерений ( 4 разряд)</w:t>
            </w:r>
          </w:p>
        </w:tc>
        <w:tc>
          <w:tcPr>
            <w:tcW w:w="2126" w:type="dxa"/>
            <w:shd w:val="clear" w:color="auto" w:fill="auto"/>
            <w:hideMark/>
          </w:tcPr>
          <w:p w:rsidR="00FE10F8" w:rsidRPr="00AE7637" w:rsidRDefault="00FE10F8" w:rsidP="00AE763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Приказ </w:t>
            </w:r>
            <w:proofErr w:type="spellStart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Минздравсоцразвития</w:t>
            </w:r>
            <w:proofErr w:type="spellEnd"/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России №302н от 12 апреля 2011 г., Приложение 2, п. 2 (1 раз в 2 года).</w:t>
            </w:r>
          </w:p>
        </w:tc>
        <w:tc>
          <w:tcPr>
            <w:tcW w:w="3246" w:type="dxa"/>
          </w:tcPr>
          <w:p w:rsidR="00FE10F8" w:rsidRPr="00AE763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E76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850" w:type="dxa"/>
            <w:shd w:val="clear" w:color="auto" w:fill="auto"/>
          </w:tcPr>
          <w:p w:rsidR="00FE10F8" w:rsidRPr="00AE7637" w:rsidRDefault="00FE10F8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993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FE10F8" w:rsidRPr="00AE7637" w:rsidRDefault="00FE10F8" w:rsidP="002E41EC">
            <w:pPr>
              <w:widowControl/>
              <w:jc w:val="center"/>
              <w:rPr>
                <w:rFonts w:ascii="Arial CYR" w:eastAsia="Times New Roman" w:hAnsi="Arial CYR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FE10F8" w:rsidRPr="00AE7637" w:rsidTr="002E41EC">
        <w:trPr>
          <w:trHeight w:val="306"/>
        </w:trPr>
        <w:tc>
          <w:tcPr>
            <w:tcW w:w="7372" w:type="dxa"/>
            <w:gridSpan w:val="3"/>
            <w:shd w:val="clear" w:color="auto" w:fill="auto"/>
          </w:tcPr>
          <w:p w:rsidR="00FE10F8" w:rsidRPr="00772C77" w:rsidRDefault="00FE10F8" w:rsidP="003D5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72C7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FE10F8" w:rsidRPr="00772C77" w:rsidRDefault="00904817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72C7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787</w:t>
            </w:r>
          </w:p>
        </w:tc>
        <w:tc>
          <w:tcPr>
            <w:tcW w:w="993" w:type="dxa"/>
          </w:tcPr>
          <w:p w:rsidR="00FE10F8" w:rsidRPr="00772C77" w:rsidRDefault="00954006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72C7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1134" w:type="dxa"/>
          </w:tcPr>
          <w:p w:rsidR="00FE10F8" w:rsidRPr="00772C77" w:rsidRDefault="00904817" w:rsidP="002E41E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72C7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</w:p>
        </w:tc>
      </w:tr>
    </w:tbl>
    <w:p w:rsidR="008D6D92" w:rsidRDefault="008D6D92">
      <w:pPr>
        <w:rPr>
          <w:sz w:val="2"/>
          <w:szCs w:val="2"/>
        </w:rPr>
      </w:pPr>
    </w:p>
    <w:p w:rsidR="008D6D92" w:rsidRDefault="008D6D92">
      <w:pPr>
        <w:rPr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01"/>
        <w:gridCol w:w="2204"/>
      </w:tblGrid>
      <w:tr w:rsidR="002E41EC" w:rsidRPr="006D5B43" w:rsidTr="002E41EC">
        <w:tc>
          <w:tcPr>
            <w:tcW w:w="5104" w:type="dxa"/>
          </w:tcPr>
          <w:p w:rsidR="002E41EC" w:rsidRPr="00FC3679" w:rsidRDefault="002E41EC" w:rsidP="006D5B43">
            <w:pPr>
              <w:spacing w:line="276" w:lineRule="auto"/>
              <w:ind w:firstLine="709"/>
              <w:jc w:val="both"/>
              <w:rPr>
                <w:color w:val="auto"/>
                <w:sz w:val="24"/>
                <w:szCs w:val="24"/>
              </w:rPr>
            </w:pPr>
          </w:p>
          <w:p w:rsidR="002E41EC" w:rsidRDefault="002E41EC" w:rsidP="006D5B43">
            <w:pPr>
              <w:spacing w:line="276" w:lineRule="auto"/>
              <w:rPr>
                <w:color w:val="auto"/>
                <w:sz w:val="24"/>
                <w:szCs w:val="24"/>
              </w:rPr>
            </w:pPr>
          </w:p>
          <w:p w:rsidR="002E41EC" w:rsidRPr="00FC3679" w:rsidRDefault="002E41EC" w:rsidP="006D5B43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</w:t>
            </w:r>
            <w:r w:rsidRPr="00FC3679">
              <w:rPr>
                <w:color w:val="auto"/>
                <w:sz w:val="24"/>
                <w:szCs w:val="24"/>
              </w:rPr>
              <w:t>аместител</w:t>
            </w:r>
            <w:r>
              <w:rPr>
                <w:color w:val="auto"/>
                <w:sz w:val="24"/>
                <w:szCs w:val="24"/>
              </w:rPr>
              <w:t>ь</w:t>
            </w:r>
            <w:r w:rsidRPr="00FC3679">
              <w:rPr>
                <w:color w:val="auto"/>
                <w:sz w:val="24"/>
                <w:szCs w:val="24"/>
              </w:rPr>
              <w:t xml:space="preserve"> главного инженера – </w:t>
            </w:r>
          </w:p>
          <w:p w:rsidR="002E41EC" w:rsidRPr="00FC3679" w:rsidRDefault="002E41EC" w:rsidP="006D5B43">
            <w:pPr>
              <w:spacing w:line="276" w:lineRule="auto"/>
              <w:rPr>
                <w:color w:val="auto"/>
                <w:sz w:val="24"/>
                <w:szCs w:val="24"/>
              </w:rPr>
            </w:pPr>
            <w:r w:rsidRPr="00FC3679">
              <w:rPr>
                <w:color w:val="auto"/>
                <w:sz w:val="24"/>
                <w:szCs w:val="24"/>
              </w:rPr>
              <w:t>начальник управления производственной безопасности и производственного контроля</w:t>
            </w:r>
          </w:p>
          <w:p w:rsidR="002E41EC" w:rsidRPr="00FC3679" w:rsidRDefault="002E41EC" w:rsidP="006D5B43">
            <w:pPr>
              <w:tabs>
                <w:tab w:val="left" w:pos="0"/>
                <w:tab w:val="left" w:pos="1134"/>
              </w:tabs>
              <w:spacing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801" w:type="dxa"/>
          </w:tcPr>
          <w:p w:rsidR="002E41EC" w:rsidRDefault="002E41EC" w:rsidP="006D5B43">
            <w:pPr>
              <w:tabs>
                <w:tab w:val="left" w:pos="0"/>
                <w:tab w:val="left" w:pos="1134"/>
              </w:tabs>
              <w:spacing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Pr="00FC3679" w:rsidRDefault="002E41EC" w:rsidP="006D5B43">
            <w:pPr>
              <w:tabs>
                <w:tab w:val="left" w:pos="0"/>
                <w:tab w:val="left" w:pos="1134"/>
              </w:tabs>
              <w:spacing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Pr="00FC3679" w:rsidRDefault="002E41EC" w:rsidP="006D5B43">
            <w:pPr>
              <w:tabs>
                <w:tab w:val="left" w:pos="0"/>
                <w:tab w:val="left" w:pos="1134"/>
              </w:tabs>
              <w:spacing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Pr="00FC3679" w:rsidRDefault="002E41EC" w:rsidP="002E41EC">
            <w:pPr>
              <w:tabs>
                <w:tab w:val="left" w:pos="0"/>
                <w:tab w:val="left" w:pos="1134"/>
              </w:tabs>
              <w:spacing w:before="240" w:line="276" w:lineRule="auto"/>
              <w:contextualSpacing/>
              <w:jc w:val="center"/>
              <w:rPr>
                <w:color w:val="auto"/>
              </w:rPr>
            </w:pPr>
            <w:bookmarkStart w:id="7" w:name="_GoBack"/>
            <w:bookmarkEnd w:id="7"/>
          </w:p>
        </w:tc>
        <w:tc>
          <w:tcPr>
            <w:tcW w:w="2204" w:type="dxa"/>
          </w:tcPr>
          <w:p w:rsidR="002E41EC" w:rsidRPr="00FC3679" w:rsidRDefault="002E41EC" w:rsidP="002E41EC">
            <w:pPr>
              <w:tabs>
                <w:tab w:val="left" w:pos="0"/>
                <w:tab w:val="left" w:pos="1134"/>
              </w:tabs>
              <w:spacing w:before="100" w:beforeAutospacing="1" w:after="120"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Default="002E41EC" w:rsidP="002E41EC">
            <w:pPr>
              <w:tabs>
                <w:tab w:val="left" w:pos="0"/>
                <w:tab w:val="left" w:pos="1134"/>
              </w:tabs>
              <w:spacing w:before="120"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Default="002E41EC" w:rsidP="002E41EC">
            <w:pPr>
              <w:tabs>
                <w:tab w:val="left" w:pos="0"/>
                <w:tab w:val="left" w:pos="1134"/>
              </w:tabs>
              <w:spacing w:before="120"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</w:p>
          <w:p w:rsidR="002E41EC" w:rsidRPr="002E41EC" w:rsidRDefault="002E41EC" w:rsidP="002E41EC">
            <w:pPr>
              <w:tabs>
                <w:tab w:val="left" w:pos="0"/>
                <w:tab w:val="left" w:pos="1134"/>
              </w:tabs>
              <w:spacing w:before="120" w:line="276" w:lineRule="auto"/>
              <w:contextualSpacing/>
              <w:jc w:val="right"/>
              <w:rPr>
                <w:color w:val="auto"/>
                <w:sz w:val="12"/>
                <w:szCs w:val="12"/>
              </w:rPr>
            </w:pPr>
          </w:p>
          <w:p w:rsidR="002E41EC" w:rsidRPr="00FC3679" w:rsidRDefault="002E41EC" w:rsidP="002E41EC">
            <w:pPr>
              <w:tabs>
                <w:tab w:val="left" w:pos="0"/>
                <w:tab w:val="left" w:pos="1134"/>
              </w:tabs>
              <w:spacing w:before="120" w:line="276" w:lineRule="auto"/>
              <w:contextualSpacing/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Швалёв</w:t>
            </w:r>
            <w:r w:rsidRPr="00FC3679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</w:t>
            </w:r>
            <w:r w:rsidRPr="00FC3679">
              <w:rPr>
                <w:color w:val="auto"/>
                <w:sz w:val="24"/>
                <w:szCs w:val="24"/>
              </w:rPr>
              <w:t>. В.</w:t>
            </w:r>
          </w:p>
        </w:tc>
      </w:tr>
    </w:tbl>
    <w:p w:rsidR="008D6D92" w:rsidRDefault="008D6D92" w:rsidP="00491FB1">
      <w:pPr>
        <w:pStyle w:val="20"/>
        <w:keepNext/>
        <w:keepLines/>
        <w:shd w:val="clear" w:color="auto" w:fill="auto"/>
        <w:tabs>
          <w:tab w:val="left" w:pos="904"/>
        </w:tabs>
        <w:spacing w:before="511" w:line="298" w:lineRule="exact"/>
      </w:pPr>
    </w:p>
    <w:sectPr w:rsidR="008D6D92" w:rsidSect="002E41EC">
      <w:footerReference w:type="default" r:id="rId9"/>
      <w:pgSz w:w="11900" w:h="16840"/>
      <w:pgMar w:top="808" w:right="731" w:bottom="56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44" w:rsidRDefault="00293244">
      <w:r>
        <w:separator/>
      </w:r>
    </w:p>
  </w:endnote>
  <w:endnote w:type="continuationSeparator" w:id="0">
    <w:p w:rsidR="00293244" w:rsidRDefault="0029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728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25C5E" w:rsidRPr="00AF3245" w:rsidRDefault="00B25C5E">
        <w:pPr>
          <w:pStyle w:val="a8"/>
          <w:jc w:val="center"/>
          <w:rPr>
            <w:sz w:val="20"/>
            <w:szCs w:val="20"/>
          </w:rPr>
        </w:pPr>
        <w:r w:rsidRPr="00AF3245">
          <w:rPr>
            <w:sz w:val="20"/>
            <w:szCs w:val="20"/>
          </w:rPr>
          <w:fldChar w:fldCharType="begin"/>
        </w:r>
        <w:r w:rsidRPr="00AF3245">
          <w:rPr>
            <w:sz w:val="20"/>
            <w:szCs w:val="20"/>
          </w:rPr>
          <w:instrText>PAGE   \* MERGEFORMAT</w:instrText>
        </w:r>
        <w:r w:rsidRPr="00AF3245">
          <w:rPr>
            <w:sz w:val="20"/>
            <w:szCs w:val="20"/>
          </w:rPr>
          <w:fldChar w:fldCharType="separate"/>
        </w:r>
        <w:r w:rsidR="0080043E">
          <w:rPr>
            <w:noProof/>
            <w:sz w:val="20"/>
            <w:szCs w:val="20"/>
          </w:rPr>
          <w:t>1</w:t>
        </w:r>
        <w:r w:rsidRPr="00AF3245">
          <w:rPr>
            <w:sz w:val="20"/>
            <w:szCs w:val="20"/>
          </w:rPr>
          <w:fldChar w:fldCharType="end"/>
        </w:r>
      </w:p>
    </w:sdtContent>
  </w:sdt>
  <w:p w:rsidR="00B25C5E" w:rsidRDefault="00B25C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44" w:rsidRDefault="00293244"/>
  </w:footnote>
  <w:footnote w:type="continuationSeparator" w:id="0">
    <w:p w:rsidR="00293244" w:rsidRDefault="002932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C1407"/>
    <w:multiLevelType w:val="hybridMultilevel"/>
    <w:tmpl w:val="0B923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13F14"/>
    <w:multiLevelType w:val="multilevel"/>
    <w:tmpl w:val="218A2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1A492C"/>
    <w:multiLevelType w:val="multilevel"/>
    <w:tmpl w:val="C8B68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12B63"/>
    <w:multiLevelType w:val="multilevel"/>
    <w:tmpl w:val="4664FD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362DEA"/>
    <w:multiLevelType w:val="hybridMultilevel"/>
    <w:tmpl w:val="4D1EC6A6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D92"/>
    <w:rsid w:val="00047CA6"/>
    <w:rsid w:val="00053F2C"/>
    <w:rsid w:val="00095016"/>
    <w:rsid w:val="0009609A"/>
    <w:rsid w:val="000A4680"/>
    <w:rsid w:val="000B1952"/>
    <w:rsid w:val="000D25B4"/>
    <w:rsid w:val="000D739A"/>
    <w:rsid w:val="0014789E"/>
    <w:rsid w:val="00162C74"/>
    <w:rsid w:val="001977C6"/>
    <w:rsid w:val="001D26AF"/>
    <w:rsid w:val="001F7F77"/>
    <w:rsid w:val="0020614D"/>
    <w:rsid w:val="00222B18"/>
    <w:rsid w:val="00257B08"/>
    <w:rsid w:val="00261311"/>
    <w:rsid w:val="002615E9"/>
    <w:rsid w:val="00264828"/>
    <w:rsid w:val="00270EE7"/>
    <w:rsid w:val="00293244"/>
    <w:rsid w:val="002A6826"/>
    <w:rsid w:val="002D11CD"/>
    <w:rsid w:val="002E0387"/>
    <w:rsid w:val="002E41EC"/>
    <w:rsid w:val="002F15CD"/>
    <w:rsid w:val="00300EB9"/>
    <w:rsid w:val="00322B8B"/>
    <w:rsid w:val="00351C01"/>
    <w:rsid w:val="00395498"/>
    <w:rsid w:val="003B10B9"/>
    <w:rsid w:val="003D58BA"/>
    <w:rsid w:val="003D70B1"/>
    <w:rsid w:val="003F6A30"/>
    <w:rsid w:val="00410510"/>
    <w:rsid w:val="004111BF"/>
    <w:rsid w:val="00430B50"/>
    <w:rsid w:val="00491FB1"/>
    <w:rsid w:val="00495EF1"/>
    <w:rsid w:val="004A5071"/>
    <w:rsid w:val="004A7082"/>
    <w:rsid w:val="004C1AE9"/>
    <w:rsid w:val="004C7089"/>
    <w:rsid w:val="004E2A98"/>
    <w:rsid w:val="00522C21"/>
    <w:rsid w:val="0057766F"/>
    <w:rsid w:val="005B3298"/>
    <w:rsid w:val="005E23EB"/>
    <w:rsid w:val="005F6413"/>
    <w:rsid w:val="00600D56"/>
    <w:rsid w:val="0060163F"/>
    <w:rsid w:val="00620C0D"/>
    <w:rsid w:val="00632F4C"/>
    <w:rsid w:val="00636F16"/>
    <w:rsid w:val="0066425D"/>
    <w:rsid w:val="006C0BCC"/>
    <w:rsid w:val="006D52CC"/>
    <w:rsid w:val="006D5B43"/>
    <w:rsid w:val="006E6D34"/>
    <w:rsid w:val="00702302"/>
    <w:rsid w:val="0072447D"/>
    <w:rsid w:val="0074644C"/>
    <w:rsid w:val="007646CC"/>
    <w:rsid w:val="00766A18"/>
    <w:rsid w:val="00772C77"/>
    <w:rsid w:val="00780DBD"/>
    <w:rsid w:val="007A0228"/>
    <w:rsid w:val="007A485C"/>
    <w:rsid w:val="007B1E4C"/>
    <w:rsid w:val="007E0063"/>
    <w:rsid w:val="007F4A68"/>
    <w:rsid w:val="0080043E"/>
    <w:rsid w:val="008107D1"/>
    <w:rsid w:val="008439FC"/>
    <w:rsid w:val="00852DD5"/>
    <w:rsid w:val="00892C97"/>
    <w:rsid w:val="00893186"/>
    <w:rsid w:val="0089520C"/>
    <w:rsid w:val="008A3CED"/>
    <w:rsid w:val="008B1495"/>
    <w:rsid w:val="008D0132"/>
    <w:rsid w:val="008D6D92"/>
    <w:rsid w:val="008F3CDB"/>
    <w:rsid w:val="008F6577"/>
    <w:rsid w:val="00904817"/>
    <w:rsid w:val="00904ECC"/>
    <w:rsid w:val="00952172"/>
    <w:rsid w:val="00954006"/>
    <w:rsid w:val="009701D6"/>
    <w:rsid w:val="009711E3"/>
    <w:rsid w:val="009779DC"/>
    <w:rsid w:val="00985C65"/>
    <w:rsid w:val="009A0F7B"/>
    <w:rsid w:val="009A2E04"/>
    <w:rsid w:val="009C0600"/>
    <w:rsid w:val="009C7434"/>
    <w:rsid w:val="009F2CA4"/>
    <w:rsid w:val="00A07E2C"/>
    <w:rsid w:val="00A35ABC"/>
    <w:rsid w:val="00A426C1"/>
    <w:rsid w:val="00A4628B"/>
    <w:rsid w:val="00A573B5"/>
    <w:rsid w:val="00A65E22"/>
    <w:rsid w:val="00A9087C"/>
    <w:rsid w:val="00A917DE"/>
    <w:rsid w:val="00A948EB"/>
    <w:rsid w:val="00AB6A40"/>
    <w:rsid w:val="00AD5F54"/>
    <w:rsid w:val="00AE691D"/>
    <w:rsid w:val="00AE7637"/>
    <w:rsid w:val="00AF3245"/>
    <w:rsid w:val="00B25C5E"/>
    <w:rsid w:val="00B41E86"/>
    <w:rsid w:val="00B471FA"/>
    <w:rsid w:val="00B654C0"/>
    <w:rsid w:val="00B75527"/>
    <w:rsid w:val="00BB50FB"/>
    <w:rsid w:val="00BD59C2"/>
    <w:rsid w:val="00BD7302"/>
    <w:rsid w:val="00BF50EA"/>
    <w:rsid w:val="00C008F5"/>
    <w:rsid w:val="00C02DC7"/>
    <w:rsid w:val="00C034B2"/>
    <w:rsid w:val="00C20D35"/>
    <w:rsid w:val="00C258E9"/>
    <w:rsid w:val="00C93577"/>
    <w:rsid w:val="00CD2AC4"/>
    <w:rsid w:val="00CF748A"/>
    <w:rsid w:val="00D028C1"/>
    <w:rsid w:val="00D13498"/>
    <w:rsid w:val="00D264ED"/>
    <w:rsid w:val="00D31795"/>
    <w:rsid w:val="00D53C7D"/>
    <w:rsid w:val="00D96558"/>
    <w:rsid w:val="00DB259F"/>
    <w:rsid w:val="00DD68C0"/>
    <w:rsid w:val="00E1588E"/>
    <w:rsid w:val="00E25F30"/>
    <w:rsid w:val="00E504FF"/>
    <w:rsid w:val="00E623CA"/>
    <w:rsid w:val="00E95799"/>
    <w:rsid w:val="00ED1D22"/>
    <w:rsid w:val="00EF69F8"/>
    <w:rsid w:val="00F249B5"/>
    <w:rsid w:val="00F34D8F"/>
    <w:rsid w:val="00F450E6"/>
    <w:rsid w:val="00F53397"/>
    <w:rsid w:val="00F53FB4"/>
    <w:rsid w:val="00F67D85"/>
    <w:rsid w:val="00F8153B"/>
    <w:rsid w:val="00FB6C25"/>
    <w:rsid w:val="00FC3679"/>
    <w:rsid w:val="00FC3D20"/>
    <w:rsid w:val="00FE10F8"/>
    <w:rsid w:val="00FF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6" w:lineRule="exact"/>
      <w:ind w:hanging="82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02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105pt">
    <w:name w:val="Основной текст (2) + 10;5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pt">
    <w:name w:val="Основной текст (2) + 8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2F15CD"/>
    <w:pPr>
      <w:ind w:left="720"/>
      <w:contextualSpacing/>
    </w:pPr>
  </w:style>
  <w:style w:type="table" w:styleId="a5">
    <w:name w:val="Table Grid"/>
    <w:basedOn w:val="a1"/>
    <w:uiPriority w:val="59"/>
    <w:rsid w:val="006D5B4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53F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FB4"/>
    <w:rPr>
      <w:color w:val="000000"/>
    </w:rPr>
  </w:style>
  <w:style w:type="paragraph" w:styleId="a8">
    <w:name w:val="footer"/>
    <w:basedOn w:val="a"/>
    <w:link w:val="a9"/>
    <w:uiPriority w:val="99"/>
    <w:unhideWhenUsed/>
    <w:rsid w:val="00F53F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FB4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95E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5EF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6" w:lineRule="exact"/>
      <w:ind w:hanging="82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02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105pt">
    <w:name w:val="Основной текст (2) + 10;5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pt">
    <w:name w:val="Основной текст (2) + 8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2F15CD"/>
    <w:pPr>
      <w:ind w:left="720"/>
      <w:contextualSpacing/>
    </w:pPr>
  </w:style>
  <w:style w:type="table" w:styleId="a5">
    <w:name w:val="Table Grid"/>
    <w:basedOn w:val="a1"/>
    <w:uiPriority w:val="59"/>
    <w:rsid w:val="006D5B4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53F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FB4"/>
    <w:rPr>
      <w:color w:val="000000"/>
    </w:rPr>
  </w:style>
  <w:style w:type="paragraph" w:styleId="a8">
    <w:name w:val="footer"/>
    <w:basedOn w:val="a"/>
    <w:link w:val="a9"/>
    <w:uiPriority w:val="99"/>
    <w:unhideWhenUsed/>
    <w:rsid w:val="00F53F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FB4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95E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5E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D0CA-71B0-40AB-B2D4-CA2EA8F3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11176</Words>
  <Characters>63705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Казанова Татьяна Алексеевна</dc:creator>
  <cp:lastModifiedBy>Шарин Андрей Владимирович</cp:lastModifiedBy>
  <cp:revision>4</cp:revision>
  <cp:lastPrinted>2020-08-05T14:05:00Z</cp:lastPrinted>
  <dcterms:created xsi:type="dcterms:W3CDTF">2020-08-05T13:52:00Z</dcterms:created>
  <dcterms:modified xsi:type="dcterms:W3CDTF">2020-08-05T14:07:00Z</dcterms:modified>
</cp:coreProperties>
</file>