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892A45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="00C309BE">
        <w:rPr>
          <w:rFonts w:ascii="Times New Roman" w:hAnsi="Times New Roman" w:cs="Times New Roman"/>
          <w:sz w:val="24"/>
          <w:szCs w:val="24"/>
        </w:rPr>
        <w:t xml:space="preserve"> проведении конкурса в электронной форме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bookmarkStart w:id="0" w:name="_Hlk41308784"/>
      <w:r w:rsidR="00C9238E" w:rsidRPr="00C9238E">
        <w:rPr>
          <w:rFonts w:ascii="Times New Roman" w:hAnsi="Times New Roman" w:cs="Times New Roman"/>
          <w:sz w:val="24"/>
          <w:szCs w:val="24"/>
        </w:rPr>
        <w:t xml:space="preserve">Договора на  поставку </w:t>
      </w:r>
      <w:proofErr w:type="spellStart"/>
      <w:r w:rsidR="00C9238E" w:rsidRPr="00C9238E">
        <w:rPr>
          <w:rFonts w:ascii="Times New Roman" w:hAnsi="Times New Roman" w:cs="Times New Roman"/>
          <w:sz w:val="24"/>
          <w:szCs w:val="24"/>
        </w:rPr>
        <w:t>металических</w:t>
      </w:r>
      <w:proofErr w:type="spellEnd"/>
      <w:r w:rsidR="00C9238E" w:rsidRPr="00C9238E">
        <w:rPr>
          <w:rFonts w:ascii="Times New Roman" w:hAnsi="Times New Roman" w:cs="Times New Roman"/>
          <w:sz w:val="24"/>
          <w:szCs w:val="24"/>
        </w:rPr>
        <w:t xml:space="preserve"> опор, фундаментов опор, </w:t>
      </w:r>
      <w:proofErr w:type="spellStart"/>
      <w:r w:rsidR="00C9238E" w:rsidRPr="00C9238E">
        <w:rPr>
          <w:rFonts w:ascii="Times New Roman" w:hAnsi="Times New Roman" w:cs="Times New Roman"/>
          <w:sz w:val="24"/>
          <w:szCs w:val="24"/>
        </w:rPr>
        <w:t>армокаркасов</w:t>
      </w:r>
      <w:proofErr w:type="spellEnd"/>
      <w:r w:rsidR="00C9238E" w:rsidRPr="00C9238E">
        <w:rPr>
          <w:rFonts w:ascii="Times New Roman" w:hAnsi="Times New Roman" w:cs="Times New Roman"/>
          <w:sz w:val="24"/>
          <w:szCs w:val="24"/>
        </w:rPr>
        <w:t xml:space="preserve">, цоколей </w:t>
      </w:r>
      <w:proofErr w:type="spellStart"/>
      <w:r w:rsidR="00C9238E" w:rsidRPr="00C9238E">
        <w:rPr>
          <w:rFonts w:ascii="Times New Roman" w:hAnsi="Times New Roman" w:cs="Times New Roman"/>
          <w:sz w:val="24"/>
          <w:szCs w:val="24"/>
        </w:rPr>
        <w:t>металических</w:t>
      </w:r>
      <w:proofErr w:type="spellEnd"/>
      <w:r w:rsidR="00C9238E" w:rsidRPr="00C9238E">
        <w:rPr>
          <w:rFonts w:ascii="Times New Roman" w:hAnsi="Times New Roman" w:cs="Times New Roman"/>
          <w:sz w:val="24"/>
          <w:szCs w:val="24"/>
        </w:rPr>
        <w:t xml:space="preserve"> опор, кронштейнов наружного освещения для нужд ПАО «МРСК Центра» (филиала «Белгородэнерго»)</w:t>
      </w:r>
      <w:bookmarkEnd w:id="0"/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C9238E" w:rsidRPr="00C9238E">
        <w:rPr>
          <w:rFonts w:ascii="Times New Roman" w:hAnsi="Times New Roman" w:cs="Times New Roman"/>
        </w:rPr>
        <w:t>32009178531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C309BE">
        <w:rPr>
          <w:rFonts w:ascii="Times New Roman" w:hAnsi="Times New Roman" w:cs="Times New Roman"/>
          <w:sz w:val="24"/>
          <w:szCs w:val="24"/>
        </w:rPr>
        <w:t>25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C9238E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C309BE" w:rsidRPr="00416904">
        <w:rPr>
          <w:rFonts w:ascii="Times New Roman" w:hAnsi="Times New Roman" w:cs="Times New Roman"/>
          <w:sz w:val="24"/>
          <w:szCs w:val="24"/>
        </w:rPr>
        <w:t>о</w:t>
      </w:r>
      <w:r w:rsidR="00C309BE">
        <w:rPr>
          <w:rFonts w:ascii="Times New Roman" w:hAnsi="Times New Roman" w:cs="Times New Roman"/>
          <w:sz w:val="24"/>
          <w:szCs w:val="24"/>
        </w:rPr>
        <w:t xml:space="preserve"> проведении конкурса в электронной форме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 поставку </w:t>
      </w:r>
      <w:proofErr w:type="spellStart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металических</w:t>
      </w:r>
      <w:proofErr w:type="spellEnd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опор, фундаментов опор, </w:t>
      </w:r>
      <w:proofErr w:type="spellStart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армокаркасов</w:t>
      </w:r>
      <w:proofErr w:type="spellEnd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цоколей </w:t>
      </w:r>
      <w:proofErr w:type="spellStart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металических</w:t>
      </w:r>
      <w:proofErr w:type="spellEnd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опор, кронштейнов наружного освещения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C9238E" w:rsidRDefault="00C9238E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9238E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>полнить</w:t>
      </w:r>
      <w:r w:rsidRPr="00C92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238E">
        <w:rPr>
          <w:rFonts w:ascii="Times New Roman" w:hAnsi="Times New Roman" w:cs="Times New Roman"/>
          <w:sz w:val="24"/>
          <w:szCs w:val="24"/>
        </w:rPr>
        <w:t>пакет  конкурсной</w:t>
      </w:r>
      <w:proofErr w:type="gramEnd"/>
      <w:r w:rsidRPr="00C9238E">
        <w:rPr>
          <w:rFonts w:ascii="Times New Roman" w:hAnsi="Times New Roman" w:cs="Times New Roman"/>
          <w:sz w:val="24"/>
          <w:szCs w:val="24"/>
        </w:rPr>
        <w:t xml:space="preserve">  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, внести </w:t>
      </w:r>
      <w:r w:rsidRPr="00C9238E">
        <w:rPr>
          <w:rFonts w:ascii="Times New Roman" w:hAnsi="Times New Roman" w:cs="Times New Roman"/>
          <w:sz w:val="24"/>
          <w:szCs w:val="24"/>
        </w:rPr>
        <w:t xml:space="preserve"> Приложение №2 - ТФД 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</w:t>
      </w:r>
      <w:r w:rsidR="00E70CB2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 w:rsidR="00C309BE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в электронной форме на право заключения </w:t>
      </w:r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 поставку </w:t>
      </w:r>
      <w:proofErr w:type="spellStart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металических</w:t>
      </w:r>
      <w:proofErr w:type="spellEnd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опор, фундаментов опор, </w:t>
      </w:r>
      <w:proofErr w:type="spellStart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армокаркасов</w:t>
      </w:r>
      <w:proofErr w:type="spellEnd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цоколей </w:t>
      </w:r>
      <w:proofErr w:type="spellStart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металических</w:t>
      </w:r>
      <w:proofErr w:type="spellEnd"/>
      <w:r w:rsidR="00C9238E" w:rsidRP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опор, кронштейнов наружного освещения для нужд ПАО «МРСК Центра» (филиала «Белгородэнерго»)</w:t>
      </w:r>
      <w:r w:rsidR="00C923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C9238E" w:rsidRDefault="00C9238E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До</w:t>
      </w:r>
      <w:r w:rsidR="00892A45">
        <w:rPr>
          <w:rFonts w:ascii="Times New Roman" w:hAnsi="Times New Roman" w:cs="Times New Roman"/>
          <w:i/>
          <w:sz w:val="24"/>
          <w:szCs w:val="24"/>
        </w:rPr>
        <w:t>бавлено</w:t>
      </w:r>
      <w:bookmarkStart w:id="1" w:name="_GoBack"/>
      <w:bookmarkEnd w:id="1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238E">
        <w:rPr>
          <w:rFonts w:ascii="Times New Roman" w:hAnsi="Times New Roman" w:cs="Times New Roman"/>
          <w:i/>
          <w:sz w:val="24"/>
          <w:szCs w:val="24"/>
        </w:rPr>
        <w:t xml:space="preserve">Приложение №2 - ТФД поставки </w:t>
      </w:r>
    </w:p>
    <w:p w:rsidR="00192BC6" w:rsidRPr="00416904" w:rsidRDefault="00192BC6" w:rsidP="001B3CD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</w:t>
      </w:r>
      <w:r w:rsidR="00E70CB2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 w:rsidR="00E70CB2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C9238E" w:rsidRPr="00C9238E">
        <w:rPr>
          <w:rFonts w:ascii="Times New Roman" w:hAnsi="Times New Roman" w:cs="Times New Roman"/>
          <w:sz w:val="24"/>
          <w:szCs w:val="24"/>
        </w:rPr>
        <w:t xml:space="preserve">Договора на  поставку </w:t>
      </w:r>
      <w:proofErr w:type="spellStart"/>
      <w:r w:rsidR="00C9238E" w:rsidRPr="00C9238E">
        <w:rPr>
          <w:rFonts w:ascii="Times New Roman" w:hAnsi="Times New Roman" w:cs="Times New Roman"/>
          <w:sz w:val="24"/>
          <w:szCs w:val="24"/>
        </w:rPr>
        <w:t>металических</w:t>
      </w:r>
      <w:proofErr w:type="spellEnd"/>
      <w:r w:rsidR="00C9238E" w:rsidRPr="00C9238E">
        <w:rPr>
          <w:rFonts w:ascii="Times New Roman" w:hAnsi="Times New Roman" w:cs="Times New Roman"/>
          <w:sz w:val="24"/>
          <w:szCs w:val="24"/>
        </w:rPr>
        <w:t xml:space="preserve"> опор, фундаментов опор, </w:t>
      </w:r>
      <w:proofErr w:type="spellStart"/>
      <w:r w:rsidR="00C9238E" w:rsidRPr="00C9238E">
        <w:rPr>
          <w:rFonts w:ascii="Times New Roman" w:hAnsi="Times New Roman" w:cs="Times New Roman"/>
          <w:sz w:val="24"/>
          <w:szCs w:val="24"/>
        </w:rPr>
        <w:t>армокаркасов</w:t>
      </w:r>
      <w:proofErr w:type="spellEnd"/>
      <w:r w:rsidR="00C9238E" w:rsidRPr="00C9238E">
        <w:rPr>
          <w:rFonts w:ascii="Times New Roman" w:hAnsi="Times New Roman" w:cs="Times New Roman"/>
          <w:sz w:val="24"/>
          <w:szCs w:val="24"/>
        </w:rPr>
        <w:t xml:space="preserve">, цоколей </w:t>
      </w:r>
      <w:proofErr w:type="spellStart"/>
      <w:r w:rsidR="00C9238E" w:rsidRPr="00C9238E">
        <w:rPr>
          <w:rFonts w:ascii="Times New Roman" w:hAnsi="Times New Roman" w:cs="Times New Roman"/>
          <w:sz w:val="24"/>
          <w:szCs w:val="24"/>
        </w:rPr>
        <w:t>металических</w:t>
      </w:r>
      <w:proofErr w:type="spellEnd"/>
      <w:r w:rsidR="00C9238E" w:rsidRPr="00C9238E">
        <w:rPr>
          <w:rFonts w:ascii="Times New Roman" w:hAnsi="Times New Roman" w:cs="Times New Roman"/>
          <w:sz w:val="24"/>
          <w:szCs w:val="24"/>
        </w:rPr>
        <w:t xml:space="preserve"> опор, кронштейнов наружного освещения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3D5F08">
        <w:rPr>
          <w:rStyle w:val="a7"/>
          <w:rFonts w:ascii="Times New Roman" w:hAnsi="Times New Roman" w:cs="Times New Roman"/>
          <w:sz w:val="24"/>
          <w:szCs w:val="24"/>
        </w:rPr>
        <w:t>rosseti.roseltorg.ru</w:t>
      </w:r>
      <w:r w:rsidR="00E42955">
        <w:rPr>
          <w:rStyle w:val="a7"/>
          <w:rFonts w:ascii="Times New Roman" w:hAnsi="Times New Roman" w:cs="Times New Roman"/>
          <w:sz w:val="24"/>
          <w:szCs w:val="24"/>
        </w:rPr>
        <w:t xml:space="preserve"> 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C309BE" w:rsidRPr="001E77BB">
        <w:rPr>
          <w:rFonts w:ascii="Times New Roman" w:hAnsi="Times New Roman" w:cs="Times New Roman"/>
        </w:rPr>
        <w:t>32009051705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C309BE">
        <w:rPr>
          <w:rFonts w:ascii="Times New Roman" w:hAnsi="Times New Roman" w:cs="Times New Roman"/>
          <w:sz w:val="24"/>
          <w:szCs w:val="24"/>
        </w:rPr>
        <w:t>25</w:t>
      </w:r>
      <w:r w:rsidR="004D5A6C" w:rsidRPr="00416904">
        <w:rPr>
          <w:rFonts w:ascii="Times New Roman" w:hAnsi="Times New Roman" w:cs="Times New Roman"/>
          <w:sz w:val="24"/>
          <w:szCs w:val="24"/>
        </w:rPr>
        <w:t>.</w:t>
      </w:r>
      <w:r w:rsidR="00212AE8">
        <w:rPr>
          <w:rFonts w:ascii="Times New Roman" w:hAnsi="Times New Roman" w:cs="Times New Roman"/>
          <w:sz w:val="24"/>
          <w:szCs w:val="24"/>
        </w:rPr>
        <w:t>03</w:t>
      </w:r>
      <w:r w:rsidR="00635450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>20</w:t>
      </w:r>
      <w:r w:rsidR="00635450">
        <w:rPr>
          <w:rFonts w:ascii="Times New Roman" w:hAnsi="Times New Roman" w:cs="Times New Roman"/>
          <w:sz w:val="24"/>
          <w:szCs w:val="24"/>
        </w:rPr>
        <w:t>20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416904" w:rsidRDefault="00416904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E70CB2">
        <w:rPr>
          <w:rFonts w:ascii="Times New Roman" w:hAnsi="Times New Roman" w:cs="Times New Roman"/>
          <w:sz w:val="24"/>
          <w:szCs w:val="24"/>
        </w:rPr>
        <w:t>конкурсной</w:t>
      </w:r>
      <w:r w:rsidRPr="00416904">
        <w:rPr>
          <w:rFonts w:ascii="Times New Roman" w:hAnsi="Times New Roman" w:cs="Times New Roman"/>
          <w:sz w:val="24"/>
          <w:szCs w:val="24"/>
        </w:rPr>
        <w:t xml:space="preserve">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0217"/>
    <w:rsid w:val="00123A27"/>
    <w:rsid w:val="00147EBD"/>
    <w:rsid w:val="00174178"/>
    <w:rsid w:val="00183211"/>
    <w:rsid w:val="00192BC6"/>
    <w:rsid w:val="00193B6F"/>
    <w:rsid w:val="001B3CD6"/>
    <w:rsid w:val="001B4EEE"/>
    <w:rsid w:val="00212AE8"/>
    <w:rsid w:val="00280078"/>
    <w:rsid w:val="00295EEE"/>
    <w:rsid w:val="002C425E"/>
    <w:rsid w:val="003B7C34"/>
    <w:rsid w:val="003C14F8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96F70"/>
    <w:rsid w:val="007A7230"/>
    <w:rsid w:val="007C22CF"/>
    <w:rsid w:val="008003D5"/>
    <w:rsid w:val="00811FF2"/>
    <w:rsid w:val="00812468"/>
    <w:rsid w:val="00826CE7"/>
    <w:rsid w:val="00892A45"/>
    <w:rsid w:val="008E1B20"/>
    <w:rsid w:val="008F3515"/>
    <w:rsid w:val="009A37A7"/>
    <w:rsid w:val="009A6CE6"/>
    <w:rsid w:val="00A6196E"/>
    <w:rsid w:val="00A822D2"/>
    <w:rsid w:val="00BA5529"/>
    <w:rsid w:val="00BF41BD"/>
    <w:rsid w:val="00C02CE0"/>
    <w:rsid w:val="00C15B77"/>
    <w:rsid w:val="00C309BE"/>
    <w:rsid w:val="00C51B86"/>
    <w:rsid w:val="00C6534D"/>
    <w:rsid w:val="00C706A7"/>
    <w:rsid w:val="00C9238E"/>
    <w:rsid w:val="00D16E9C"/>
    <w:rsid w:val="00D178D9"/>
    <w:rsid w:val="00DF75AF"/>
    <w:rsid w:val="00E04026"/>
    <w:rsid w:val="00E42955"/>
    <w:rsid w:val="00E53ED5"/>
    <w:rsid w:val="00E70CB2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CC0D63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24</cp:revision>
  <cp:lastPrinted>2015-12-01T11:55:00Z</cp:lastPrinted>
  <dcterms:created xsi:type="dcterms:W3CDTF">2016-02-15T06:21:00Z</dcterms:created>
  <dcterms:modified xsi:type="dcterms:W3CDTF">2020-05-29T11:59:00Z</dcterms:modified>
</cp:coreProperties>
</file>