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521C8E">
              <w:rPr>
                <w:rFonts w:ascii="PF Din Text Cond Pro Light" w:hAnsi="PF Din Text Cond Pro Light"/>
                <w:sz w:val="18"/>
                <w:szCs w:val="18"/>
              </w:rPr>
              <w:t>6901067107/</w:t>
            </w:r>
            <w:r w:rsidR="00FE2E1B" w:rsidRPr="00521C8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38290401" w:rsidR="00F34E54" w:rsidRPr="008153AD" w:rsidRDefault="00F34E54" w:rsidP="00F34E54">
      <w:pPr>
        <w:ind w:left="6804"/>
        <w:rPr>
          <w:b/>
          <w:kern w:val="36"/>
        </w:rPr>
      </w:pPr>
      <w:r w:rsidRPr="008153AD">
        <w:rPr>
          <w:b/>
          <w:kern w:val="36"/>
        </w:rPr>
        <w:t>Протокол №</w:t>
      </w:r>
      <w:r>
        <w:rPr>
          <w:b/>
          <w:kern w:val="36"/>
        </w:rPr>
        <w:t>0398-ЯР-21</w:t>
      </w:r>
      <w:r w:rsidRPr="008153AD">
        <w:rPr>
          <w:b/>
          <w:kern w:val="36"/>
        </w:rPr>
        <w:t xml:space="preserve"> </w:t>
      </w:r>
    </w:p>
    <w:p w14:paraId="339BA46E" w14:textId="534F78E6" w:rsidR="00F34E54" w:rsidRPr="008153AD" w:rsidRDefault="00F34E54" w:rsidP="00F34E54">
      <w:pPr>
        <w:snapToGrid w:val="0"/>
        <w:ind w:left="6804"/>
        <w:jc w:val="left"/>
        <w:rPr>
          <w:bCs/>
          <w:color w:val="000000"/>
        </w:rPr>
      </w:pPr>
      <w:r w:rsidRPr="008153AD">
        <w:rPr>
          <w:b/>
          <w:kern w:val="36"/>
        </w:rPr>
        <w:t xml:space="preserve">от </w:t>
      </w:r>
      <w:r>
        <w:rPr>
          <w:b/>
          <w:noProof/>
          <w:kern w:val="36"/>
        </w:rPr>
        <w:t>«28» декабря</w:t>
      </w:r>
      <w:r w:rsidRPr="008153AD">
        <w:rPr>
          <w:b/>
          <w:noProof/>
          <w:kern w:val="36"/>
        </w:rPr>
        <w:t xml:space="preserve">  2021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7374B95" w:rsidR="007F1DD5" w:rsidRPr="008316C3" w:rsidRDefault="007F1DD5" w:rsidP="007F1DD5">
      <w:pPr>
        <w:spacing w:after="120"/>
        <w:jc w:val="center"/>
        <w:rPr>
          <w:b/>
          <w:bCs/>
        </w:rPr>
      </w:pPr>
      <w:r w:rsidRPr="00656184">
        <w:rPr>
          <w:bCs/>
        </w:rPr>
        <w:t xml:space="preserve">на право заключения </w:t>
      </w:r>
      <w:r w:rsidR="00F34E54">
        <w:rPr>
          <w:bCs/>
        </w:rPr>
        <w:t>Договора на в</w:t>
      </w:r>
      <w:r w:rsidR="00F34E54" w:rsidRPr="00F34E54">
        <w:rPr>
          <w:bCs/>
        </w:rPr>
        <w:t>ыполнение работ по ремонту автотракторной техники 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545280C"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FF02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FF024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FF024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FF024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FD4EB9">
        <w:rPr>
          <w:rFonts w:ascii="Times New Roman" w:hAnsi="Times New Roman" w:cs="Times New Roman"/>
          <w:b w:val="0"/>
        </w:rPr>
        <w:lastRenderedPageBreak/>
        <w:t xml:space="preserve">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184461">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lastRenderedPageBreak/>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w:t>
      </w:r>
      <w:r w:rsidR="007F3DDA" w:rsidRPr="004E7D9D">
        <w:rPr>
          <w:rFonts w:ascii="Times New Roman" w:hAnsi="Times New Roman" w:cs="Times New Roman"/>
          <w:b w:val="0"/>
          <w:bCs w:val="0"/>
        </w:rPr>
        <w:lastRenderedPageBreak/>
        <w:t xml:space="preserve">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9B1C05">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lastRenderedPageBreak/>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lastRenderedPageBreak/>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w:t>
      </w:r>
      <w:r w:rsidRPr="00E55782">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lastRenderedPageBreak/>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lastRenderedPageBreak/>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lastRenderedPageBreak/>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xml:space="preserve">. При этом данное обеспечение в обязательном </w:t>
      </w:r>
      <w:r w:rsidRPr="00E934F3">
        <w:rPr>
          <w:rFonts w:ascii="Times New Roman" w:hAnsi="Times New Roman" w:cs="Times New Roman"/>
          <w:b w:val="0"/>
          <w:bCs w:val="0"/>
        </w:rPr>
        <w:lastRenderedPageBreak/>
        <w:t>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 xml:space="preserve">уклонения или отказа участника закупки от заключения договора, в том числе путем </w:t>
      </w:r>
      <w:r w:rsidRPr="00FD4EB9">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lastRenderedPageBreak/>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77777777"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Договора на выполнение работ по ремонту автотракторной техники для нужд филиала ПАО "Россети" - "Ярэнерго",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A3ED71A" w14:textId="77777777" w:rsidR="00F34E54" w:rsidRPr="00F34E54" w:rsidRDefault="00F34E54" w:rsidP="00F34E54">
            <w:pPr>
              <w:widowControl w:val="0"/>
              <w:autoSpaceDE w:val="0"/>
              <w:autoSpaceDN w:val="0"/>
              <w:adjustRightInd w:val="0"/>
              <w:spacing w:after="120"/>
              <w:ind w:left="209" w:right="176"/>
            </w:pPr>
            <w:r w:rsidRPr="00F34E54">
              <w:t>Работы</w:t>
            </w:r>
          </w:p>
          <w:p w14:paraId="77CEBF02" w14:textId="77777777" w:rsidR="00F34E54" w:rsidRPr="00F34E54" w:rsidRDefault="00F34E54" w:rsidP="00F34E54">
            <w:pPr>
              <w:widowControl w:val="0"/>
              <w:autoSpaceDE w:val="0"/>
              <w:autoSpaceDN w:val="0"/>
              <w:adjustRightInd w:val="0"/>
              <w:spacing w:after="120"/>
              <w:ind w:left="209" w:right="176"/>
            </w:pPr>
            <w:r w:rsidRPr="00F34E54">
              <w:t>Сроки выполнения работ: Ремонты проводятся в течение  2022 года согласно заявок, представленных сотрудниками СМиТ филиала  ПАО «Россети Центр» - «Ярэнерго». Сроки ремонта отдельного автомобиля или агрегата согласовываются с представителями СМиТ филиала ПАО «Россети Центр» - «Ярэнерго» и не должны превышать 20 дней с момента принятия в ремонт./в соответствии со сроками, указанными в Приложении №1 к настоящей документации закупке.</w:t>
            </w:r>
          </w:p>
          <w:p w14:paraId="5182A344" w14:textId="77777777" w:rsidR="00F34E54" w:rsidRPr="00F34E54" w:rsidRDefault="00F34E54" w:rsidP="00F34E54">
            <w:pPr>
              <w:widowControl w:val="0"/>
              <w:autoSpaceDE w:val="0"/>
              <w:autoSpaceDN w:val="0"/>
              <w:adjustRightInd w:val="0"/>
              <w:spacing w:after="120"/>
              <w:ind w:left="209" w:right="176"/>
            </w:pPr>
            <w:r w:rsidRPr="00F34E54">
              <w:t>Выполнение работ Участником будет осуществляться на  объектах, указанных в Приложении №1 настоящей Документации.</w:t>
            </w:r>
          </w:p>
          <w:p w14:paraId="6D7455D7" w14:textId="77777777" w:rsidR="00A63363" w:rsidRPr="006C0AA9" w:rsidRDefault="00A63363" w:rsidP="00166099">
            <w:pPr>
              <w:widowControl w:val="0"/>
              <w:autoSpaceDE w:val="0"/>
              <w:autoSpaceDN w:val="0"/>
              <w:adjustRightInd w:val="0"/>
              <w:spacing w:after="120"/>
              <w:ind w:right="175"/>
              <w:rPr>
                <w:highlight w:val="red"/>
              </w:rPr>
            </w:pPr>
          </w:p>
          <w:p w14:paraId="32472C72" w14:textId="77777777" w:rsidR="00425FE8" w:rsidRPr="006C0AA9" w:rsidRDefault="00425FE8" w:rsidP="00166099">
            <w:pPr>
              <w:widowControl w:val="0"/>
              <w:spacing w:after="0"/>
              <w:ind w:right="175"/>
            </w:pP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6BB7F85" w:rsidR="00F34E54" w:rsidRPr="00254D61" w:rsidRDefault="00A563D9" w:rsidP="00F34E54">
            <w:pPr>
              <w:pStyle w:val="Times12"/>
              <w:widowControl w:val="0"/>
              <w:tabs>
                <w:tab w:val="num" w:pos="1620"/>
              </w:tabs>
              <w:spacing w:after="120"/>
              <w:ind w:left="34" w:right="175" w:firstLine="283"/>
              <w:rPr>
                <w:rFonts w:eastAsia="Calibri"/>
                <w:lang w:eastAsia="en-US"/>
              </w:rPr>
            </w:pPr>
            <w:r w:rsidRPr="00254D61">
              <w:rPr>
                <w:b/>
                <w:bCs w:val="0"/>
                <w:szCs w:val="24"/>
                <w:u w:val="single"/>
              </w:rPr>
              <w:t>По Лоту №1:</w:t>
            </w:r>
            <w:r w:rsidR="00F34E54" w:rsidRPr="00254D61">
              <w:rPr>
                <w:b/>
                <w:bCs w:val="0"/>
                <w:szCs w:val="24"/>
              </w:rPr>
              <w:t xml:space="preserve"> 1 240 000,00</w:t>
            </w:r>
            <w:r w:rsidR="00F34E54" w:rsidRPr="00254D61">
              <w:rPr>
                <w:bCs w:val="0"/>
                <w:szCs w:val="24"/>
              </w:rPr>
              <w:t xml:space="preserve"> (один миллион двести сорок тысяч) рублей 00 копеек РФ, без учета НДС; НДС составляет </w:t>
            </w:r>
            <w:r w:rsidR="00F34E54" w:rsidRPr="00254D61">
              <w:rPr>
                <w:b/>
                <w:bCs w:val="0"/>
                <w:szCs w:val="24"/>
              </w:rPr>
              <w:t>248 000,00</w:t>
            </w:r>
            <w:r w:rsidR="00254D61" w:rsidRPr="00254D61">
              <w:rPr>
                <w:bCs w:val="0"/>
                <w:szCs w:val="24"/>
              </w:rPr>
              <w:t xml:space="preserve"> (двести сорок восемь тысяч</w:t>
            </w:r>
            <w:r w:rsidR="00F34E54" w:rsidRPr="00254D61">
              <w:rPr>
                <w:bCs w:val="0"/>
                <w:szCs w:val="24"/>
              </w:rPr>
              <w:t xml:space="preserve">) рублей 00 копеек РФ; </w:t>
            </w:r>
            <w:r w:rsidR="00F34E54" w:rsidRPr="00254D61">
              <w:rPr>
                <w:b/>
                <w:bCs w:val="0"/>
                <w:szCs w:val="24"/>
              </w:rPr>
              <w:t>1 488 000,00</w:t>
            </w:r>
            <w:r w:rsidR="00F34E54" w:rsidRPr="00254D61">
              <w:rPr>
                <w:bCs w:val="0"/>
                <w:szCs w:val="24"/>
              </w:rPr>
              <w:t xml:space="preserve"> (один миллион четыреста восемьдесят восемь тысяч ) рублей 00 копеек РФ, с учетом НДС</w:t>
            </w: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399B1647" w14:textId="77777777" w:rsidR="00A563D9" w:rsidRPr="00254D61" w:rsidRDefault="00A563D9" w:rsidP="00A563D9">
            <w:pPr>
              <w:widowControl w:val="0"/>
              <w:spacing w:after="0"/>
              <w:ind w:right="175"/>
              <w:rPr>
                <w:rFonts w:eastAsia="Calibri"/>
              </w:rPr>
            </w:pPr>
            <w:r w:rsidRPr="00254D61">
              <w:rPr>
                <w:rFonts w:eastAsia="Calibri"/>
              </w:rPr>
              <w:t>Работы/Услуги</w:t>
            </w:r>
            <w:r w:rsidRPr="00254D61" w:rsidDel="00E4088A">
              <w:rPr>
                <w:rFonts w:eastAsia="Calibri"/>
              </w:rPr>
              <w:t xml:space="preserve"> </w:t>
            </w:r>
          </w:p>
          <w:p w14:paraId="14C44E09" w14:textId="77777777" w:rsidR="00A563D9" w:rsidRPr="00254D61" w:rsidRDefault="00A563D9" w:rsidP="00A563D9">
            <w:pPr>
              <w:widowControl w:val="0"/>
              <w:spacing w:after="0"/>
              <w:ind w:right="175"/>
              <w:rPr>
                <w:rFonts w:eastAsia="Calibri"/>
              </w:rPr>
            </w:pP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7FD10242" w14:textId="0F9A9CC4" w:rsidR="00A563D9" w:rsidRPr="00254D61" w:rsidRDefault="00A563D9" w:rsidP="00A563D9">
            <w:pPr>
              <w:widowControl w:val="0"/>
              <w:spacing w:after="0"/>
              <w:ind w:right="175"/>
              <w:rPr>
                <w:rFonts w:eastAsia="Calibri"/>
              </w:rPr>
            </w:pPr>
            <w:r w:rsidRPr="00254D61">
              <w:rPr>
                <w:rFonts w:eastAsia="Calibri"/>
              </w:rPr>
              <w:t>ДОПОЛНИТЕЛЬНО к вышеуказанному ЕСЛИ ЕДИНИЧНЫЕ РАСЦЕНКИ УСТАНОВЛЕНЫ В п. 32 данной части!!!!</w:t>
            </w:r>
          </w:p>
          <w:p w14:paraId="5295BF29" w14:textId="77777777" w:rsidR="00626F1C" w:rsidRPr="00254D61" w:rsidRDefault="00626F1C" w:rsidP="00A563D9">
            <w:pPr>
              <w:widowControl w:val="0"/>
              <w:spacing w:after="0"/>
              <w:ind w:right="175"/>
              <w:rPr>
                <w:rFonts w:eastAsia="Calibri"/>
              </w:rPr>
            </w:pPr>
          </w:p>
          <w:p w14:paraId="4F4070EB" w14:textId="77777777" w:rsidR="00254D61" w:rsidRPr="00254D61" w:rsidRDefault="00254D61" w:rsidP="00254D61">
            <w:pPr>
              <w:spacing w:after="0"/>
            </w:pPr>
            <w:r w:rsidRPr="00254D61">
              <w:rPr>
                <w:b/>
              </w:rPr>
              <w:t xml:space="preserve">Сумма единиц </w:t>
            </w:r>
            <w:r w:rsidRPr="00254D61">
              <w:rPr>
                <w:b/>
                <w:bCs/>
                <w:color w:val="000000"/>
              </w:rPr>
              <w:t xml:space="preserve">расценок </w:t>
            </w:r>
            <w:r w:rsidRPr="00254D61">
              <w:rPr>
                <w:b/>
              </w:rPr>
              <w:t>составляет:</w:t>
            </w:r>
            <w:r w:rsidRPr="00254D61">
              <w:rPr>
                <w:b/>
                <w:szCs w:val="22"/>
              </w:rPr>
              <w:t xml:space="preserve"> 6 500,00</w:t>
            </w:r>
            <w:r w:rsidRPr="00254D61">
              <w:t xml:space="preserve">(шесть тысяч пятьсот) рублей </w:t>
            </w:r>
            <w:r w:rsidRPr="00254D61">
              <w:rPr>
                <w:szCs w:val="22"/>
              </w:rPr>
              <w:t>00</w:t>
            </w:r>
            <w:r w:rsidRPr="00254D61">
              <w:t xml:space="preserve"> копеек РФ, без учета НДС; </w:t>
            </w:r>
          </w:p>
          <w:p w14:paraId="55D35A8A" w14:textId="77777777" w:rsidR="00626F1C" w:rsidRPr="00254D61" w:rsidRDefault="00626F1C" w:rsidP="00A563D9">
            <w:pPr>
              <w:widowControl w:val="0"/>
              <w:spacing w:after="0"/>
              <w:ind w:right="175"/>
              <w:rPr>
                <w:rFonts w:eastAsia="Calibri"/>
              </w:rPr>
            </w:pPr>
          </w:p>
          <w:p w14:paraId="10508DFF" w14:textId="77777777" w:rsidR="00A563D9" w:rsidRPr="00254D61" w:rsidRDefault="00A563D9" w:rsidP="00A563D9">
            <w:pPr>
              <w:widowControl w:val="0"/>
              <w:spacing w:after="0"/>
              <w:ind w:right="175"/>
              <w:rPr>
                <w:rFonts w:eastAsia="Calibri"/>
              </w:rPr>
            </w:pPr>
          </w:p>
          <w:p w14:paraId="287310E3" w14:textId="77777777" w:rsidR="00A563D9" w:rsidRPr="00254D61" w:rsidRDefault="00A563D9" w:rsidP="00A563D9">
            <w:pPr>
              <w:widowControl w:val="0"/>
              <w:spacing w:after="0"/>
              <w:ind w:right="175"/>
              <w:rPr>
                <w:bCs/>
              </w:rPr>
            </w:pPr>
            <w:r w:rsidRPr="00254D61">
              <w:rPr>
                <w:bCs/>
              </w:rPr>
              <w:t xml:space="preserve">Начальная (максимальная) цена является ценой заключаемого договора по каждому из лотов. </w:t>
            </w:r>
          </w:p>
          <w:p w14:paraId="615B9640" w14:textId="77777777" w:rsidR="00A563D9" w:rsidRPr="00254D61" w:rsidRDefault="00A563D9" w:rsidP="00A563D9">
            <w:pPr>
              <w:widowControl w:val="0"/>
              <w:spacing w:after="0"/>
              <w:ind w:right="175"/>
              <w:rPr>
                <w:bCs/>
              </w:rPr>
            </w:pPr>
            <w:r w:rsidRPr="00254D61">
              <w:rPr>
                <w:bCs/>
              </w:rPr>
              <w:t xml:space="preserve">В </w:t>
            </w:r>
            <w:bookmarkStart w:id="342" w:name="_Toc2182176"/>
            <w:r w:rsidRPr="00254D61">
              <w:rPr>
                <w:bCs/>
              </w:rPr>
              <w:t>Сводной таблице стоимости поставок</w:t>
            </w:r>
            <w:bookmarkEnd w:id="342"/>
            <w:r w:rsidRPr="00254D61">
              <w:rPr>
                <w:bCs/>
              </w:rPr>
              <w:t>/работ/услуг,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7777777" w:rsidR="00A563D9" w:rsidRPr="00254D61" w:rsidRDefault="00A563D9" w:rsidP="00A563D9">
            <w:pPr>
              <w:widowControl w:val="0"/>
              <w:spacing w:after="0"/>
              <w:ind w:right="175"/>
              <w:rPr>
                <w:bCs/>
              </w:rPr>
            </w:pPr>
            <w:r w:rsidRPr="00254D61">
              <w:t xml:space="preserve">Участник указывает на ЭТП сумму единиц продукции с НДС, подаваемых в Сводной таблице стоимости </w:t>
            </w:r>
            <w:r w:rsidRPr="00254D61">
              <w:rPr>
                <w:bCs/>
              </w:rPr>
              <w:t>поставок/работ/услуг</w:t>
            </w:r>
            <w:r w:rsidRPr="00254D61">
              <w:t>.</w:t>
            </w:r>
          </w:p>
          <w:p w14:paraId="5F79230D" w14:textId="42673737" w:rsidR="00A563D9" w:rsidRPr="006C0AA9" w:rsidRDefault="00A563D9" w:rsidP="00A563D9">
            <w:pPr>
              <w:widowControl w:val="0"/>
              <w:spacing w:after="0"/>
              <w:ind w:right="175"/>
              <w:rPr>
                <w:rFonts w:eastAsia="Calibri"/>
              </w:rPr>
            </w:pPr>
            <w:r w:rsidRPr="00254D61">
              <w:t>При несоблюдении этих требований</w:t>
            </w:r>
            <w:r w:rsidRPr="00254D61">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D483375" w14:textId="77777777" w:rsidR="007F7090" w:rsidRPr="006C0AA9" w:rsidRDefault="007F7090" w:rsidP="00166099">
            <w:pPr>
              <w:widowControl w:val="0"/>
              <w:ind w:right="175"/>
            </w:pPr>
          </w:p>
          <w:p w14:paraId="2F8F226D" w14:textId="4C0C7608" w:rsidR="007F7090" w:rsidRPr="00254D61" w:rsidRDefault="007F7090" w:rsidP="00166099">
            <w:pPr>
              <w:widowControl w:val="0"/>
              <w:ind w:right="175"/>
              <w:rPr>
                <w:rFonts w:eastAsia="Calibri"/>
              </w:rPr>
            </w:pPr>
            <w:r w:rsidRPr="00254D61">
              <w:rPr>
                <w:rFonts w:eastAsia="Calibri"/>
              </w:rPr>
              <w:t>Работы</w:t>
            </w:r>
          </w:p>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163AF4FC"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521C8E">
              <w:rPr>
                <w:b/>
                <w:bCs/>
                <w:highlight w:val="yellow"/>
              </w:rPr>
              <w:t>30</w:t>
            </w:r>
            <w:r w:rsidR="00CF3B78">
              <w:rPr>
                <w:b/>
                <w:bCs/>
                <w:highlight w:val="yellow"/>
              </w:rPr>
              <w:t xml:space="preserve"> декабря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0154E11F" w:rsidR="00562DB8" w:rsidRPr="006C0AA9" w:rsidRDefault="00521C8E" w:rsidP="00166099">
            <w:pPr>
              <w:widowControl w:val="0"/>
              <w:tabs>
                <w:tab w:val="left" w:pos="0"/>
              </w:tabs>
              <w:spacing w:after="0" w:line="264" w:lineRule="auto"/>
              <w:ind w:left="1134" w:right="175"/>
            </w:pPr>
            <w:r>
              <w:rPr>
                <w:b/>
                <w:highlight w:val="yellow"/>
              </w:rPr>
              <w:lastRenderedPageBreak/>
              <w:t>17</w:t>
            </w:r>
            <w:r w:rsidR="00CF3B78">
              <w:rPr>
                <w:b/>
                <w:highlight w:val="yellow"/>
              </w:rPr>
              <w:t xml:space="preserve"> января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2449808"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521C8E">
              <w:rPr>
                <w:b/>
                <w:color w:val="auto"/>
                <w:highlight w:val="yellow"/>
              </w:rPr>
              <w:t xml:space="preserve">24 </w:t>
            </w:r>
            <w:r w:rsidR="00CF3B78">
              <w:rPr>
                <w:b/>
                <w:color w:val="auto"/>
                <w:highlight w:val="yellow"/>
              </w:rPr>
              <w:t xml:space="preserve"> января </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5705C0FC"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521C8E">
              <w:rPr>
                <w:b/>
                <w:highlight w:val="yellow"/>
              </w:rPr>
              <w:t>27</w:t>
            </w:r>
            <w:bookmarkStart w:id="347" w:name="_GoBack"/>
            <w:bookmarkEnd w:id="347"/>
            <w:r w:rsidR="00CF3B78">
              <w:rPr>
                <w:b/>
                <w:highlight w:val="yellow"/>
              </w:rPr>
              <w:t xml:space="preserve"> января</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111FE2"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521C8E">
              <w:rPr>
                <w:b/>
                <w:highlight w:val="yellow"/>
              </w:rPr>
              <w:t>12</w:t>
            </w:r>
            <w:r w:rsidR="00CF3B78">
              <w:rPr>
                <w:b/>
                <w:highlight w:val="yellow"/>
              </w:rPr>
              <w:t xml:space="preserve"> января</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w:t>
            </w:r>
            <w:r w:rsidRPr="006414C7">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w:t>
            </w:r>
            <w:r w:rsidRPr="006414C7">
              <w:rPr>
                <w:bCs/>
              </w:rPr>
              <w:lastRenderedPageBreak/>
              <w:t>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6FDBC54" w14:textId="77777777" w:rsidR="007641AA" w:rsidRPr="006414C7" w:rsidRDefault="007641AA" w:rsidP="007641AA">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 xml:space="preserve">должен обладать исключительными правами на результаты интеллектуальной деятельности, если в связи с исполнением </w:t>
            </w:r>
            <w:r w:rsidRPr="00551376">
              <w:rPr>
                <w:bCs/>
                <w:highlight w:val="lightGray"/>
              </w:rPr>
              <w:lastRenderedPageBreak/>
              <w:t>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w:t>
            </w:r>
            <w:r w:rsidR="00205740" w:rsidRPr="006C0AA9">
              <w:lastRenderedPageBreak/>
              <w:t xml:space="preserve">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w:t>
            </w:r>
            <w:r w:rsidR="009E53E9" w:rsidRPr="006414C7">
              <w:rPr>
                <w:rFonts w:ascii="Times New Roman" w:hAnsi="Times New Roman" w:cs="Times New Roman"/>
                <w:b w:val="0"/>
                <w:color w:val="auto"/>
                <w:sz w:val="24"/>
                <w:szCs w:val="24"/>
              </w:rPr>
              <w:lastRenderedPageBreak/>
              <w:t xml:space="preserve">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t xml:space="preserve">Копию учредительного документа </w:t>
            </w:r>
            <w:r w:rsidRPr="00AE3648">
              <w:rPr>
                <w:i/>
              </w:rPr>
              <w:t>(для юридических лиц)</w:t>
            </w:r>
            <w:r w:rsidRPr="00AE3648">
              <w:t>;</w:t>
            </w:r>
            <w:bookmarkEnd w:id="359"/>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 xml:space="preserve">2) банковская гарантия или ее копия, если в качестве обеспечения заявки на участие в конкурентной закупке </w:t>
            </w:r>
            <w:r w:rsidRPr="006414C7">
              <w:lastRenderedPageBreak/>
              <w:t>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781F24">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w:t>
            </w:r>
            <w:r w:rsidRPr="005D19F9">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6C0AA9">
              <w:lastRenderedPageBreak/>
              <w:t xml:space="preserve">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lastRenderedPageBreak/>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банковской </w:t>
            </w:r>
            <w:r w:rsidRPr="0003744D">
              <w:rPr>
                <w:bCs/>
                <w:iCs/>
              </w:rPr>
              <w:lastRenderedPageBreak/>
              <w:t>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lastRenderedPageBreak/>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lastRenderedPageBreak/>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 xml:space="preserve">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w:t>
            </w:r>
            <w:r w:rsidRPr="006C0AA9">
              <w:rPr>
                <w:sz w:val="24"/>
                <w:szCs w:val="24"/>
              </w:rPr>
              <w:lastRenderedPageBreak/>
              <w:t>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6C0AA9">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6C0AA9">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4EAD09" w:rsidR="00DD7DE5" w:rsidRPr="006C0AA9" w:rsidRDefault="00254D61" w:rsidP="00DD7DE5">
            <w:pPr>
              <w:pStyle w:val="Default"/>
              <w:widowControl w:val="0"/>
              <w:ind w:right="175"/>
              <w:jc w:val="both"/>
            </w:pPr>
            <w:r w:rsidRPr="00254D61">
              <w:rPr>
                <w:b/>
              </w:rPr>
              <w:t>Да</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89E2B" w14:textId="77777777" w:rsidR="00FF024C" w:rsidRDefault="00FF024C">
      <w:r>
        <w:separator/>
      </w:r>
    </w:p>
    <w:p w14:paraId="00E8B7AF" w14:textId="77777777" w:rsidR="00FF024C" w:rsidRDefault="00FF024C"/>
  </w:endnote>
  <w:endnote w:type="continuationSeparator" w:id="0">
    <w:p w14:paraId="4D6A5573" w14:textId="77777777" w:rsidR="00FF024C" w:rsidRDefault="00FF024C">
      <w:r>
        <w:continuationSeparator/>
      </w:r>
    </w:p>
    <w:p w14:paraId="035CEF47" w14:textId="77777777" w:rsidR="00FF024C" w:rsidRDefault="00FF024C"/>
  </w:endnote>
  <w:endnote w:type="continuationNotice" w:id="1">
    <w:p w14:paraId="7AD24BA4" w14:textId="77777777" w:rsidR="00FF024C" w:rsidRDefault="00FF02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4E54" w:rsidRPr="00FA0376" w:rsidRDefault="00F34E5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4E54" w:rsidRPr="00902488" w:rsidRDefault="00F34E5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4E54" w:rsidRPr="00F34E54" w:rsidRDefault="00F34E54"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521C8E">
              <w:rPr>
                <w:bCs/>
                <w:noProof/>
                <w:sz w:val="16"/>
                <w:szCs w:val="16"/>
              </w:rPr>
              <w:t>33</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521C8E">
              <w:rPr>
                <w:bCs/>
                <w:noProof/>
                <w:sz w:val="16"/>
                <w:szCs w:val="16"/>
              </w:rPr>
              <w:t>47</w:t>
            </w:r>
            <w:r w:rsidRPr="00F34E54">
              <w:rPr>
                <w:bCs/>
                <w:sz w:val="16"/>
                <w:szCs w:val="16"/>
              </w:rPr>
              <w:fldChar w:fldCharType="end"/>
            </w:r>
          </w:p>
          <w:p w14:paraId="05EE1B3B" w14:textId="0ABF9C66" w:rsidR="00F34E54" w:rsidRPr="00F34E54" w:rsidRDefault="00F34E54"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25EF90F" w:rsidR="00F34E54" w:rsidRPr="00401A97" w:rsidRDefault="00F34E54" w:rsidP="00401A97">
            <w:pPr>
              <w:pStyle w:val="afe"/>
              <w:tabs>
                <w:tab w:val="clear" w:pos="4153"/>
                <w:tab w:val="clear" w:pos="8306"/>
              </w:tabs>
              <w:ind w:left="1134" w:right="1274"/>
              <w:jc w:val="center"/>
              <w:rPr>
                <w:sz w:val="16"/>
                <w:szCs w:val="16"/>
              </w:rPr>
            </w:pPr>
            <w:r w:rsidRPr="00F34E54">
              <w:rPr>
                <w:bCs/>
                <w:sz w:val="16"/>
                <w:szCs w:val="16"/>
              </w:rPr>
              <w:t xml:space="preserve"> на право заключения </w:t>
            </w:r>
            <w:r w:rsidRPr="00F34E54">
              <w:rPr>
                <w:sz w:val="16"/>
                <w:szCs w:val="16"/>
              </w:rPr>
              <w:t>Договора на выполнение работ по ремонту автотракторной техники для нужд филиала ПАО "Россети"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6C48DC" w14:textId="77777777" w:rsidR="00FF024C" w:rsidRDefault="00FF024C">
      <w:r>
        <w:separator/>
      </w:r>
    </w:p>
    <w:p w14:paraId="6633EB86" w14:textId="77777777" w:rsidR="00FF024C" w:rsidRDefault="00FF024C"/>
  </w:footnote>
  <w:footnote w:type="continuationSeparator" w:id="0">
    <w:p w14:paraId="46B57F0D" w14:textId="77777777" w:rsidR="00FF024C" w:rsidRDefault="00FF024C">
      <w:r>
        <w:continuationSeparator/>
      </w:r>
    </w:p>
    <w:p w14:paraId="3BD7EA78" w14:textId="77777777" w:rsidR="00FF024C" w:rsidRDefault="00FF024C"/>
  </w:footnote>
  <w:footnote w:type="continuationNotice" w:id="1">
    <w:p w14:paraId="7FF8D45E" w14:textId="77777777" w:rsidR="00FF024C" w:rsidRDefault="00FF024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4E54" w:rsidRPr="00401A97" w:rsidRDefault="00F34E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4E54" w:rsidRPr="003C47E7" w:rsidRDefault="00F34E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1C8E"/>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24C"/>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76B1A-7985-4937-B10A-302F7BCC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47</Pages>
  <Words>19211</Words>
  <Characters>109507</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16</cp:revision>
  <cp:lastPrinted>2019-01-16T10:14:00Z</cp:lastPrinted>
  <dcterms:created xsi:type="dcterms:W3CDTF">2021-08-17T06:47:00Z</dcterms:created>
  <dcterms:modified xsi:type="dcterms:W3CDTF">2021-12-30T06:01:00Z</dcterms:modified>
</cp:coreProperties>
</file>