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1B3CD6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1B3CD6" w:rsidRPr="001B3CD6">
        <w:rPr>
          <w:rFonts w:ascii="Times New Roman" w:hAnsi="Times New Roman" w:cs="Times New Roman"/>
          <w:sz w:val="24"/>
          <w:szCs w:val="24"/>
        </w:rPr>
        <w:t>32008974098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212AE8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212AE8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212AE8">
        <w:rPr>
          <w:rFonts w:ascii="Times New Roman" w:hAnsi="Times New Roman" w:cs="Times New Roman"/>
          <w:sz w:val="24"/>
          <w:szCs w:val="24"/>
        </w:rPr>
        <w:t>2</w:t>
      </w:r>
      <w:r w:rsidR="00635450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212AE8">
        <w:rPr>
          <w:rFonts w:ascii="Times New Roman" w:hAnsi="Times New Roman" w:cs="Times New Roman"/>
          <w:sz w:val="24"/>
          <w:szCs w:val="24"/>
        </w:rPr>
        <w:t>3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212AE8">
        <w:rPr>
          <w:rFonts w:ascii="Times New Roman" w:hAnsi="Times New Roman" w:cs="Times New Roman"/>
          <w:b/>
          <w:sz w:val="24"/>
          <w:szCs w:val="24"/>
        </w:rPr>
        <w:t>27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AE8">
        <w:rPr>
          <w:rFonts w:ascii="Times New Roman" w:hAnsi="Times New Roman" w:cs="Times New Roman"/>
          <w:b/>
          <w:sz w:val="24"/>
          <w:szCs w:val="24"/>
        </w:rPr>
        <w:t>марта</w:t>
      </w:r>
      <w:r w:rsidR="009A6CE6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212AE8">
        <w:rPr>
          <w:rFonts w:ascii="Times New Roman" w:hAnsi="Times New Roman" w:cs="Times New Roman"/>
          <w:sz w:val="24"/>
          <w:szCs w:val="24"/>
        </w:rPr>
        <w:t>27</w:t>
      </w:r>
      <w:r w:rsidR="00635450">
        <w:rPr>
          <w:rFonts w:ascii="Times New Roman" w:hAnsi="Times New Roman" w:cs="Times New Roman"/>
          <w:sz w:val="24"/>
          <w:szCs w:val="24"/>
        </w:rPr>
        <w:t>.0</w:t>
      </w:r>
      <w:r w:rsidR="00212AE8">
        <w:rPr>
          <w:rFonts w:ascii="Times New Roman" w:hAnsi="Times New Roman" w:cs="Times New Roman"/>
          <w:sz w:val="24"/>
          <w:szCs w:val="24"/>
        </w:rPr>
        <w:t>3</w:t>
      </w:r>
      <w:r w:rsidRPr="00765E4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212AE8">
        <w:rPr>
          <w:rFonts w:ascii="Times New Roman" w:hAnsi="Times New Roman" w:cs="Times New Roman"/>
          <w:sz w:val="24"/>
          <w:szCs w:val="24"/>
        </w:rPr>
        <w:t xml:space="preserve"> 31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212AE8">
        <w:rPr>
          <w:rFonts w:ascii="Times New Roman" w:hAnsi="Times New Roman" w:cs="Times New Roman"/>
          <w:sz w:val="24"/>
          <w:szCs w:val="24"/>
        </w:rPr>
        <w:t>3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212AE8">
        <w:rPr>
          <w:rFonts w:ascii="Times New Roman" w:hAnsi="Times New Roman" w:cs="Times New Roman"/>
          <w:sz w:val="24"/>
          <w:szCs w:val="24"/>
        </w:rPr>
        <w:t>02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212AE8">
        <w:rPr>
          <w:rFonts w:ascii="Times New Roman" w:hAnsi="Times New Roman" w:cs="Times New Roman"/>
          <w:sz w:val="24"/>
          <w:szCs w:val="24"/>
        </w:rPr>
        <w:t>4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AE8">
        <w:rPr>
          <w:rFonts w:ascii="Times New Roman" w:hAnsi="Times New Roman" w:cs="Times New Roman"/>
          <w:b/>
          <w:sz w:val="24"/>
          <w:szCs w:val="24"/>
        </w:rPr>
        <w:t>24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AE8">
        <w:rPr>
          <w:rFonts w:ascii="Times New Roman" w:hAnsi="Times New Roman" w:cs="Times New Roman"/>
          <w:b/>
          <w:sz w:val="24"/>
          <w:szCs w:val="24"/>
        </w:rPr>
        <w:t>марта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35450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="00212AE8" w:rsidRPr="00416904">
        <w:rPr>
          <w:rFonts w:ascii="Times New Roman" w:hAnsi="Times New Roman" w:cs="Times New Roman"/>
          <w:sz w:val="24"/>
          <w:szCs w:val="24"/>
        </w:rPr>
        <w:t>.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1B3CD6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 части не затронутой настоящим уведомлением, По</w:t>
      </w:r>
      <w:bookmarkStart w:id="1" w:name="_GoBack"/>
      <w:bookmarkEnd w:id="1"/>
      <w:r w:rsidRPr="00416904">
        <w:rPr>
          <w:rFonts w:ascii="Times New Roman" w:hAnsi="Times New Roman" w:cs="Times New Roman"/>
          <w:sz w:val="24"/>
          <w:szCs w:val="24"/>
        </w:rPr>
        <w:t xml:space="preserve">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212AE8" w:rsidRPr="00212AE8">
        <w:rPr>
          <w:rFonts w:ascii="Times New Roman" w:hAnsi="Times New Roman" w:cs="Times New Roman"/>
          <w:sz w:val="24"/>
          <w:szCs w:val="24"/>
        </w:rPr>
        <w:t>Договора на оказание услуг по обновлению диспетчерских наименований для нужд ПАО МРСК Центра (филиал «Белгородэнерго»)</w:t>
      </w:r>
      <w:r w:rsidR="00212AE8" w:rsidRPr="00416904">
        <w:rPr>
          <w:rFonts w:ascii="Times New Roman" w:hAnsi="Times New Roman" w:cs="Times New Roman"/>
          <w:sz w:val="24"/>
          <w:szCs w:val="24"/>
        </w:rPr>
        <w:t>.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1B3CD6" w:rsidRPr="001B3CD6">
        <w:rPr>
          <w:rFonts w:ascii="Times New Roman" w:hAnsi="Times New Roman" w:cs="Times New Roman"/>
          <w:sz w:val="24"/>
          <w:szCs w:val="24"/>
        </w:rPr>
        <w:t>32008974098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212AE8">
        <w:rPr>
          <w:rFonts w:ascii="Times New Roman" w:hAnsi="Times New Roman" w:cs="Times New Roman"/>
          <w:sz w:val="24"/>
          <w:szCs w:val="24"/>
        </w:rPr>
        <w:t>11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212AE8">
        <w:rPr>
          <w:rFonts w:ascii="Times New Roman" w:hAnsi="Times New Roman" w:cs="Times New Roman"/>
          <w:sz w:val="24"/>
          <w:szCs w:val="24"/>
        </w:rPr>
        <w:t>03</w:t>
      </w:r>
      <w:r w:rsidR="00635450">
        <w:rPr>
          <w:rFonts w:ascii="Times New Roman" w:hAnsi="Times New Roman" w:cs="Times New Roman"/>
          <w:sz w:val="24"/>
          <w:szCs w:val="24"/>
        </w:rPr>
        <w:t>.</w:t>
      </w:r>
      <w:r w:rsidR="004D5A6C" w:rsidRPr="00416904">
        <w:rPr>
          <w:rFonts w:ascii="Times New Roman" w:hAnsi="Times New Roman" w:cs="Times New Roman"/>
          <w:sz w:val="24"/>
          <w:szCs w:val="24"/>
        </w:rPr>
        <w:t>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3CD6"/>
    <w:rsid w:val="001B4EEE"/>
    <w:rsid w:val="00212AE8"/>
    <w:rsid w:val="00280078"/>
    <w:rsid w:val="00295EEE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5450"/>
    <w:rsid w:val="00637E42"/>
    <w:rsid w:val="006A00D7"/>
    <w:rsid w:val="006D6893"/>
    <w:rsid w:val="006E2084"/>
    <w:rsid w:val="00725E1E"/>
    <w:rsid w:val="00735252"/>
    <w:rsid w:val="00765E44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A6196E"/>
    <w:rsid w:val="00A822D2"/>
    <w:rsid w:val="00BA5529"/>
    <w:rsid w:val="00BF41BD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0A082C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20</cp:revision>
  <cp:lastPrinted>2015-12-01T11:55:00Z</cp:lastPrinted>
  <dcterms:created xsi:type="dcterms:W3CDTF">2016-02-15T06:21:00Z</dcterms:created>
  <dcterms:modified xsi:type="dcterms:W3CDTF">2020-03-20T06:19:00Z</dcterms:modified>
</cp:coreProperties>
</file>