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5806CE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5806CE">
              <w:rPr>
                <w:b/>
                <w:sz w:val="22"/>
              </w:rPr>
              <w:t>401О18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CA01B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CA01B7">
              <w:rPr>
                <w:b/>
                <w:sz w:val="22"/>
                <w:lang w:val="en-US"/>
              </w:rPr>
              <w:t>2115103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>Резина маслобензостойкая</w:t>
      </w:r>
      <w:r>
        <w:rPr>
          <w:b/>
          <w:sz w:val="26"/>
          <w:szCs w:val="26"/>
        </w:rPr>
        <w:t xml:space="preserve"> </w:t>
      </w:r>
      <w:r w:rsidR="00CA01B7">
        <w:rPr>
          <w:b/>
          <w:sz w:val="26"/>
          <w:szCs w:val="26"/>
        </w:rPr>
        <w:t xml:space="preserve">5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113A7" w:rsidP="007113A7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мм: </w:t>
            </w:r>
            <w:r w:rsidR="00CA01B7">
              <w:rPr>
                <w:color w:val="000000"/>
              </w:rPr>
              <w:t>5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6435F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06CE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13A7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1014"/>
    <w:rsid w:val="008026A0"/>
    <w:rsid w:val="00802CF1"/>
    <w:rsid w:val="00810238"/>
    <w:rsid w:val="00811FCC"/>
    <w:rsid w:val="00812378"/>
    <w:rsid w:val="00812D65"/>
    <w:rsid w:val="008170F4"/>
    <w:rsid w:val="008277BE"/>
    <w:rsid w:val="0083023C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01B7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E27A44A-6488-43E4-81A9-A660FA932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6F3EB3-D9ED-4D1A-B9C8-877A08D8CF42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1A966F-BE06-4A3A-B011-52EBAAD0F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E4D345-630A-4E9A-A261-A102AF88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2015-09-25T08:41:00Z</dcterms:created>
  <dcterms:modified xsi:type="dcterms:W3CDTF">2015-09-25T08:41:00Z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