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F1D56" w:rsidRDefault="00C849CA" w:rsidP="00ED1C9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49CA">
              <w:rPr>
                <w:b/>
                <w:sz w:val="26"/>
                <w:szCs w:val="26"/>
                <w:lang w:val="en-US"/>
              </w:rPr>
              <w:t>203B_</w:t>
            </w:r>
            <w:r w:rsidR="00ED1C93">
              <w:rPr>
                <w:b/>
                <w:sz w:val="26"/>
                <w:szCs w:val="26"/>
              </w:rPr>
              <w:t>415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A5ACB" w:rsidRDefault="0055375D" w:rsidP="004711B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0F1D56">
              <w:rPr>
                <w:b/>
                <w:sz w:val="26"/>
                <w:szCs w:val="26"/>
              </w:rPr>
              <w:t>226852</w:t>
            </w:r>
            <w:r w:rsidR="004711BC">
              <w:rPr>
                <w:b/>
                <w:sz w:val="26"/>
                <w:szCs w:val="26"/>
              </w:rPr>
              <w:t>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06E78">
        <w:rPr>
          <w:b/>
          <w:sz w:val="26"/>
          <w:szCs w:val="26"/>
        </w:rPr>
        <w:t>(</w:t>
      </w:r>
      <w:r w:rsidR="000F1D56">
        <w:rPr>
          <w:b/>
          <w:sz w:val="26"/>
          <w:szCs w:val="26"/>
        </w:rPr>
        <w:t>Дюбель-гвоздь 5х65</w:t>
      </w:r>
      <w:r w:rsidR="000C2FA1">
        <w:rPr>
          <w:b/>
          <w:sz w:val="26"/>
          <w:szCs w:val="26"/>
        </w:rPr>
        <w:t> </w:t>
      </w:r>
      <w:r w:rsidR="00106E78">
        <w:rPr>
          <w:b/>
          <w:sz w:val="26"/>
          <w:szCs w:val="26"/>
        </w:rPr>
        <w:t>)</w:t>
      </w:r>
      <w:r w:rsidR="000C2FA1">
        <w:rPr>
          <w:b/>
          <w:sz w:val="26"/>
          <w:szCs w:val="26"/>
        </w:rPr>
        <w:t>.</w:t>
      </w:r>
      <w:r w:rsidR="009C0389" w:rsidRPr="00106E78">
        <w:rPr>
          <w:b/>
          <w:sz w:val="26"/>
          <w:szCs w:val="26"/>
        </w:rPr>
        <w:t xml:space="preserve"> Лот № </w:t>
      </w:r>
      <w:r w:rsidR="00BD2843" w:rsidRPr="000C2FA1">
        <w:rPr>
          <w:b/>
          <w:sz w:val="26"/>
          <w:szCs w:val="26"/>
          <w:u w:val="single"/>
        </w:rPr>
        <w:t>203</w:t>
      </w:r>
      <w:r w:rsidR="00BD2843" w:rsidRPr="000C2FA1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C2FA1" w:rsidRDefault="000C2FA1" w:rsidP="00F90B4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99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C2FA1" w:rsidRDefault="000C2FA1" w:rsidP="00F90B4F">
      <w:pPr>
        <w:pStyle w:val="ad"/>
        <w:tabs>
          <w:tab w:val="left" w:pos="1134"/>
        </w:tabs>
        <w:spacing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0C2FA1">
        <w:rPr>
          <w:sz w:val="24"/>
          <w:szCs w:val="24"/>
        </w:rPr>
        <w:t>Артикул</w:t>
      </w:r>
      <w:r>
        <w:rPr>
          <w:sz w:val="24"/>
          <w:szCs w:val="24"/>
        </w:rPr>
        <w:t>а</w:t>
      </w:r>
      <w:r w:rsidRPr="000C2FA1">
        <w:rPr>
          <w:sz w:val="24"/>
          <w:szCs w:val="24"/>
        </w:rPr>
        <w:t xml:space="preserve"> в31540</w:t>
      </w:r>
      <w:r>
        <w:rPr>
          <w:sz w:val="24"/>
          <w:szCs w:val="24"/>
        </w:rPr>
        <w:t>.</w:t>
      </w:r>
    </w:p>
    <w:p w:rsidR="000C2FA1" w:rsidRDefault="000C2FA1" w:rsidP="000C2FA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C2FA1" w:rsidRDefault="000C2FA1" w:rsidP="00F90B4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99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C2FA1" w:rsidRDefault="000C2FA1" w:rsidP="00F90B4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C2FA1" w:rsidRDefault="000C2FA1" w:rsidP="00F90B4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2.2.Участник закупочных процедур на право заключения договор</w:t>
      </w:r>
      <w:r w:rsidR="00F90B4F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C2FA1" w:rsidRDefault="000C2FA1" w:rsidP="00F90B4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2.3.Метизы должны соответствовать требованиям «Правил устройства электроустановок» (ПУЭ) (7-е издание) и требованиям:</w:t>
      </w:r>
    </w:p>
    <w:p w:rsidR="000C2FA1" w:rsidRDefault="000C2FA1" w:rsidP="00F90B4F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C2FA1">
        <w:rPr>
          <w:sz w:val="24"/>
          <w:szCs w:val="24"/>
        </w:rPr>
        <w:t>Артикул</w:t>
      </w:r>
      <w:r>
        <w:rPr>
          <w:sz w:val="24"/>
          <w:szCs w:val="24"/>
        </w:rPr>
        <w:t>а</w:t>
      </w:r>
      <w:r w:rsidRPr="000C2FA1">
        <w:rPr>
          <w:sz w:val="24"/>
          <w:szCs w:val="24"/>
        </w:rPr>
        <w:t xml:space="preserve"> в31540</w:t>
      </w:r>
      <w:r>
        <w:rPr>
          <w:sz w:val="24"/>
          <w:szCs w:val="24"/>
        </w:rPr>
        <w:t>;</w:t>
      </w:r>
    </w:p>
    <w:p w:rsidR="000C2FA1" w:rsidRDefault="000C2FA1" w:rsidP="00F90B4F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B686E" w:rsidRDefault="00CB686E" w:rsidP="00CB686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CB686E" w:rsidRDefault="00CB686E" w:rsidP="00CB68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</w:p>
    <w:p w:rsidR="00CB686E" w:rsidRDefault="00CB686E" w:rsidP="00CB686E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B686E" w:rsidRDefault="00CB686E" w:rsidP="00CB686E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метизов должен быть не более полугода от момента поставки.</w:t>
      </w:r>
    </w:p>
    <w:p w:rsidR="000C2FA1" w:rsidRDefault="000C2FA1" w:rsidP="000C2FA1">
      <w:pPr>
        <w:spacing w:line="276" w:lineRule="auto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C2FA1" w:rsidRDefault="000C2FA1" w:rsidP="00F90B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C2FA1" w:rsidRDefault="000C2FA1" w:rsidP="00F90B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C2FA1" w:rsidRDefault="000C2FA1" w:rsidP="000C2FA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76893" w:rsidRDefault="00176893" w:rsidP="000C2FA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F90B4F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C2FA1" w:rsidRDefault="000C2FA1" w:rsidP="00F90B4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C2FA1" w:rsidRDefault="000C2FA1" w:rsidP="00F90B4F">
      <w:pPr>
        <w:spacing w:line="276" w:lineRule="auto"/>
        <w:ind w:firstLine="709"/>
        <w:rPr>
          <w:sz w:val="26"/>
          <w:szCs w:val="26"/>
        </w:rPr>
      </w:pPr>
    </w:p>
    <w:p w:rsidR="000C2FA1" w:rsidRDefault="000C2FA1" w:rsidP="000C2FA1">
      <w:pPr>
        <w:rPr>
          <w:sz w:val="26"/>
          <w:szCs w:val="26"/>
        </w:rPr>
      </w:pPr>
    </w:p>
    <w:p w:rsidR="000C2FA1" w:rsidRDefault="000C2FA1" w:rsidP="000C2FA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C2FA1" w:rsidRDefault="000C2FA1" w:rsidP="000C2FA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</w:t>
      </w:r>
      <w:r w:rsidR="00F90B4F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 Фамилия И.О.         </w:t>
      </w:r>
    </w:p>
    <w:p w:rsidR="000C2FA1" w:rsidRDefault="000C2FA1" w:rsidP="000C2FA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0C2FA1" w:rsidRDefault="008F73A3" w:rsidP="000C2FA1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0C2FA1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DF6" w:rsidRDefault="009C4DF6">
      <w:r>
        <w:separator/>
      </w:r>
    </w:p>
  </w:endnote>
  <w:endnote w:type="continuationSeparator" w:id="0">
    <w:p w:rsidR="009C4DF6" w:rsidRDefault="009C4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DF6" w:rsidRDefault="009C4DF6">
      <w:r>
        <w:separator/>
      </w:r>
    </w:p>
  </w:footnote>
  <w:footnote w:type="continuationSeparator" w:id="0">
    <w:p w:rsidR="009C4DF6" w:rsidRDefault="009C4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C280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4C6AE44E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2FA1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1D56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6E78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59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689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6F5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C698C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1BC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12F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9E6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80A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1F7A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947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713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ACB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4DF6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73D9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BDC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9CA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86E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591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0EC2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82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C93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3BF"/>
    <w:rsid w:val="00F525F8"/>
    <w:rsid w:val="00F54E4F"/>
    <w:rsid w:val="00F576A1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0B4F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B4073-F1CA-4FE4-A9A1-74D488CE5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B9CC1-FC69-4773-99BB-A2CB4D112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63EA-043E-464A-B4BC-E49D202C88E4}">
  <ds:schemaRefs>
    <ds:schemaRef ds:uri="http://purl.org/dc/elements/1.1/"/>
    <ds:schemaRef ds:uri="http://www.w3.org/XML/1998/namespace"/>
    <ds:schemaRef ds:uri="http://purl.org/dc/terms/"/>
    <ds:schemaRef ds:uri="aeb3e8e0-784a-4348-b8a9-74d788c4fa59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C8AD83E-FA89-4824-A58E-73BA3C48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2015-09-29T11:03:00Z</dcterms:created>
  <dcterms:modified xsi:type="dcterms:W3CDTF">2015-09-29T11:03:00Z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