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BF360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3D0560" w:rsidRPr="003D0560">
        <w:rPr>
          <w:rFonts w:ascii="Times New Roman" w:hAnsi="Times New Roman" w:cs="Times New Roman"/>
          <w:sz w:val="24"/>
          <w:szCs w:val="24"/>
        </w:rPr>
        <w:t>Договора на выполнение ПИР, СМР внешнего электроснабжения токоприемников объектов ТП (лот 8500010494)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3D0560" w:rsidRPr="003D0560">
        <w:rPr>
          <w:rFonts w:ascii="Times New Roman" w:hAnsi="Times New Roman" w:cs="Times New Roman"/>
          <w:sz w:val="24"/>
          <w:szCs w:val="24"/>
        </w:rPr>
        <w:t>32009006453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3D0560" w:rsidRPr="003D0560">
        <w:rPr>
          <w:rFonts w:ascii="Times New Roman" w:hAnsi="Times New Roman" w:cs="Times New Roman"/>
          <w:sz w:val="24"/>
          <w:szCs w:val="24"/>
        </w:rPr>
        <w:t>Договора на выполнение ПИР, СМР внешнего электроснабжения токоприемников объектов ТП (лот 8500010494)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sz w:val="24"/>
          <w:szCs w:val="24"/>
        </w:rPr>
        <w:t>08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12 часов 00 минут</w:t>
      </w:r>
      <w:r w:rsidR="00BF360D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60D">
        <w:rPr>
          <w:rFonts w:ascii="Times New Roman" w:hAnsi="Times New Roman" w:cs="Times New Roman"/>
          <w:b/>
          <w:sz w:val="24"/>
          <w:szCs w:val="24"/>
        </w:rPr>
        <w:t>апреля</w:t>
      </w:r>
      <w:bookmarkStart w:id="0" w:name="_GoBack"/>
      <w:bookmarkEnd w:id="0"/>
      <w:r w:rsidR="001B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08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03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3D0560" w:rsidRPr="003D0560">
        <w:rPr>
          <w:rFonts w:ascii="Times New Roman" w:hAnsi="Times New Roman" w:cs="Times New Roman"/>
          <w:sz w:val="24"/>
          <w:szCs w:val="24"/>
        </w:rPr>
        <w:t>Договора на выполнение ПИР, СМР внешнего электроснабжения токоприемников объектов ТП (лот 8500010494)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3D056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3D0560" w:rsidRPr="003D0560">
        <w:rPr>
          <w:rFonts w:ascii="Times New Roman" w:hAnsi="Times New Roman" w:cs="Times New Roman"/>
          <w:sz w:val="24"/>
          <w:szCs w:val="24"/>
        </w:rPr>
        <w:t>Договора на выполнение ПИР, СМР внешнего электроснабжения токоприемников объектов ТП (лот 8500010494)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3D0560" w:rsidRPr="003D0560">
        <w:rPr>
          <w:rFonts w:ascii="Times New Roman" w:hAnsi="Times New Roman" w:cs="Times New Roman"/>
          <w:sz w:val="24"/>
          <w:szCs w:val="24"/>
        </w:rPr>
        <w:t>32009006453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431D7"/>
    <w:rsid w:val="003B7C34"/>
    <w:rsid w:val="003C14F8"/>
    <w:rsid w:val="003D0560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05A78"/>
    <w:rsid w:val="00BA5529"/>
    <w:rsid w:val="00BF360D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98E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2016-02-15T06:21:00Z</dcterms:created>
  <dcterms:modified xsi:type="dcterms:W3CDTF">2020-03-27T06:39:00Z</dcterms:modified>
</cp:coreProperties>
</file>