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4F2D32"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тел.: +7 (495) 747-92-92,</w:t>
                  </w:r>
                </w:p>
                <w:p w:rsidR="004F2D32" w:rsidRPr="000D67AD" w:rsidRDefault="004F2D3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F2D32" w:rsidRPr="000D67AD" w:rsidRDefault="004F2D3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F2D32" w:rsidRPr="000D67AD" w:rsidRDefault="004F2D3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F2D32" w:rsidRPr="000D67AD" w:rsidRDefault="004F2D3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F2D32" w:rsidRPr="003E5DE6" w:rsidRDefault="004F2D3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proofErr w:type="gramEnd"/>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4F2D32" w:rsidRPr="004F2D32">
        <w:rPr>
          <w:b/>
          <w:sz w:val="26"/>
          <w:szCs w:val="26"/>
        </w:rPr>
        <w:t xml:space="preserve">медицинских препаратов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w:t>
        </w:r>
        <w:proofErr w:type="gramEnd"/>
        <w:r w:rsidR="009A6462" w:rsidRPr="003E5DE6">
          <w:rPr>
            <w:rStyle w:val="a7"/>
            <w:sz w:val="26"/>
            <w:szCs w:val="26"/>
          </w:rPr>
          <w:t>.ru</w:t>
        </w:r>
      </w:hyperlink>
      <w:r w:rsidR="009A6462" w:rsidRPr="003E5DE6">
        <w:rPr>
          <w:sz w:val="26"/>
          <w:szCs w:val="26"/>
        </w:rPr>
        <w:t xml:space="preserve">; </w:t>
      </w:r>
      <w:proofErr w:type="gramStart"/>
      <w:r w:rsidR="009A6462" w:rsidRPr="003E5DE6">
        <w:rPr>
          <w:sz w:val="26"/>
          <w:szCs w:val="26"/>
        </w:rPr>
        <w:t xml:space="preserve">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w:t>
      </w:r>
      <w:r w:rsidR="00C028CE">
        <w:rPr>
          <w:b/>
          <w:sz w:val="26"/>
          <w:szCs w:val="26"/>
        </w:rPr>
        <w:t>4</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w:t>
      </w:r>
      <w:proofErr w:type="gramEnd"/>
      <w:r w:rsidR="005B75A6" w:rsidRPr="009A6462">
        <w:rPr>
          <w:sz w:val="26"/>
          <w:szCs w:val="26"/>
        </w:rPr>
        <w:t xml:space="preserve">. </w:t>
      </w:r>
      <w:proofErr w:type="gramStart"/>
      <w:r w:rsidR="005B75A6" w:rsidRPr="009A6462">
        <w:rPr>
          <w:sz w:val="26"/>
          <w:szCs w:val="26"/>
        </w:rPr>
        <w:t>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C028CE" w:rsidRPr="00C028CE">
        <w:rPr>
          <w:sz w:val="26"/>
          <w:szCs w:val="26"/>
        </w:rPr>
        <w:t>медицинских препаратов</w:t>
      </w:r>
      <w:proofErr w:type="gramEnd"/>
      <w:r w:rsidR="00C028CE" w:rsidRPr="00C028CE">
        <w:rPr>
          <w:sz w:val="26"/>
          <w:szCs w:val="26"/>
        </w:rPr>
        <w:t xml:space="preserve"> </w:t>
      </w:r>
      <w:proofErr w:type="gramStart"/>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w:t>
      </w:r>
      <w:proofErr w:type="gramEnd"/>
      <w:r w:rsidR="00862664" w:rsidRPr="001E50DC">
        <w:rPr>
          <w:sz w:val="26"/>
          <w:szCs w:val="26"/>
        </w:rPr>
        <w:t xml:space="preserve">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C028CE" w:rsidRPr="00C028CE">
        <w:rPr>
          <w:sz w:val="26"/>
          <w:szCs w:val="26"/>
        </w:rPr>
        <w:t>медицинских препаратов</w:t>
      </w:r>
      <w:r w:rsidR="003E5DE6" w:rsidRPr="003E5DE6">
        <w:rPr>
          <w:sz w:val="26"/>
          <w:szCs w:val="26"/>
        </w:rPr>
        <w:t xml:space="preserve">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w:t>
      </w:r>
      <w:proofErr w:type="spellStart"/>
      <w:r w:rsidR="00702B2C" w:rsidRPr="003E5DE6">
        <w:rPr>
          <w:sz w:val="26"/>
          <w:szCs w:val="26"/>
        </w:rPr>
        <w:t>Орёлэнерго</w:t>
      </w:r>
      <w:proofErr w:type="spellEnd"/>
      <w:r w:rsidR="00702B2C" w:rsidRPr="003E5DE6">
        <w:rPr>
          <w:sz w:val="26"/>
          <w:szCs w:val="26"/>
        </w:rPr>
        <w:t>»)</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3E5DE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C028CE">
        <w:rPr>
          <w:sz w:val="26"/>
          <w:szCs w:val="26"/>
        </w:rPr>
        <w:t>с 11</w:t>
      </w:r>
      <w:r w:rsidR="003E5DE6" w:rsidRPr="003E5DE6">
        <w:rPr>
          <w:sz w:val="26"/>
          <w:szCs w:val="26"/>
        </w:rPr>
        <w:t>.01.2017 по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C028CE" w:rsidRPr="00C028CE">
        <w:rPr>
          <w:b/>
          <w:sz w:val="26"/>
          <w:szCs w:val="26"/>
        </w:rPr>
        <w:t>417 280</w:t>
      </w:r>
      <w:r w:rsidR="00BE35C3" w:rsidRPr="00BE35C3">
        <w:rPr>
          <w:b/>
          <w:sz w:val="26"/>
          <w:szCs w:val="26"/>
        </w:rPr>
        <w:t>,0</w:t>
      </w:r>
      <w:bookmarkStart w:id="251" w:name="_GoBack"/>
      <w:bookmarkEnd w:id="251"/>
      <w:r w:rsidR="00BE35C3" w:rsidRPr="00BE35C3">
        <w:rPr>
          <w:b/>
          <w:sz w:val="26"/>
          <w:szCs w:val="26"/>
        </w:rPr>
        <w:t>0</w:t>
      </w:r>
      <w:r w:rsidR="00BE35C3" w:rsidRPr="00BE35C3">
        <w:rPr>
          <w:sz w:val="26"/>
          <w:szCs w:val="26"/>
        </w:rPr>
        <w:t xml:space="preserve"> (</w:t>
      </w:r>
      <w:r w:rsidR="00C028CE">
        <w:rPr>
          <w:sz w:val="26"/>
          <w:szCs w:val="26"/>
        </w:rPr>
        <w:t>Четыреста семнадцать тысяч двести восемьдесят</w:t>
      </w:r>
      <w:r w:rsidR="00BE35C3" w:rsidRPr="00BE35C3">
        <w:rPr>
          <w:sz w:val="26"/>
          <w:szCs w:val="26"/>
        </w:rPr>
        <w:t>) рубл</w:t>
      </w:r>
      <w:r w:rsidR="00C028CE">
        <w:rPr>
          <w:sz w:val="26"/>
          <w:szCs w:val="26"/>
        </w:rPr>
        <w:t>ей</w:t>
      </w:r>
      <w:r w:rsidR="00BE35C3" w:rsidRPr="00BE35C3">
        <w:rPr>
          <w:sz w:val="26"/>
          <w:szCs w:val="26"/>
        </w:rPr>
        <w:t xml:space="preserve"> 00 копеек РФ, без учета НДС; НДС </w:t>
      </w:r>
      <w:r w:rsidR="00BE35C3" w:rsidRPr="00BE35C3">
        <w:rPr>
          <w:sz w:val="26"/>
          <w:szCs w:val="26"/>
        </w:rPr>
        <w:lastRenderedPageBreak/>
        <w:t xml:space="preserve">составляет </w:t>
      </w:r>
      <w:r w:rsidR="00211503">
        <w:rPr>
          <w:b/>
          <w:sz w:val="26"/>
          <w:szCs w:val="26"/>
        </w:rPr>
        <w:t>75 110,40</w:t>
      </w:r>
      <w:r w:rsidR="00BE35C3" w:rsidRPr="00BE35C3">
        <w:rPr>
          <w:b/>
          <w:sz w:val="26"/>
          <w:szCs w:val="26"/>
        </w:rPr>
        <w:t xml:space="preserve"> </w:t>
      </w:r>
      <w:r w:rsidR="00BE35C3" w:rsidRPr="00BE35C3">
        <w:rPr>
          <w:sz w:val="26"/>
          <w:szCs w:val="26"/>
        </w:rPr>
        <w:t>(</w:t>
      </w:r>
      <w:r w:rsidR="00211503">
        <w:rPr>
          <w:sz w:val="26"/>
          <w:szCs w:val="26"/>
        </w:rPr>
        <w:t>Семьдесят п</w:t>
      </w:r>
      <w:r w:rsidR="00694870">
        <w:rPr>
          <w:sz w:val="26"/>
          <w:szCs w:val="26"/>
        </w:rPr>
        <w:t>ять</w:t>
      </w:r>
      <w:r w:rsidR="00BE35C3">
        <w:rPr>
          <w:sz w:val="26"/>
          <w:szCs w:val="26"/>
        </w:rPr>
        <w:t xml:space="preserve"> тысяч </w:t>
      </w:r>
      <w:r w:rsidR="00211503">
        <w:rPr>
          <w:sz w:val="26"/>
          <w:szCs w:val="26"/>
        </w:rPr>
        <w:t>сто десять</w:t>
      </w:r>
      <w:r w:rsidR="00BE35C3" w:rsidRPr="00BE35C3">
        <w:rPr>
          <w:sz w:val="26"/>
          <w:szCs w:val="26"/>
        </w:rPr>
        <w:t>) рубл</w:t>
      </w:r>
      <w:r w:rsidR="00694870">
        <w:rPr>
          <w:sz w:val="26"/>
          <w:szCs w:val="26"/>
        </w:rPr>
        <w:t>ей</w:t>
      </w:r>
      <w:r w:rsidR="00BE35C3" w:rsidRPr="00BE35C3">
        <w:rPr>
          <w:sz w:val="26"/>
          <w:szCs w:val="26"/>
        </w:rPr>
        <w:t xml:space="preserve"> </w:t>
      </w:r>
      <w:r w:rsidR="00211503">
        <w:rPr>
          <w:sz w:val="26"/>
          <w:szCs w:val="26"/>
        </w:rPr>
        <w:t>40</w:t>
      </w:r>
      <w:r w:rsidR="00BE35C3" w:rsidRPr="00BE35C3">
        <w:rPr>
          <w:sz w:val="26"/>
          <w:szCs w:val="26"/>
        </w:rPr>
        <w:t xml:space="preserve"> копеек РФ; </w:t>
      </w:r>
      <w:r w:rsidR="00C028CE" w:rsidRPr="00C028CE">
        <w:rPr>
          <w:b/>
          <w:sz w:val="26"/>
          <w:szCs w:val="26"/>
        </w:rPr>
        <w:t>492 390,40</w:t>
      </w:r>
      <w:r w:rsidR="00BE35C3" w:rsidRPr="00BE35C3">
        <w:rPr>
          <w:b/>
          <w:sz w:val="26"/>
          <w:szCs w:val="26"/>
        </w:rPr>
        <w:t xml:space="preserve"> </w:t>
      </w:r>
      <w:r w:rsidR="00BE35C3" w:rsidRPr="00BE35C3">
        <w:rPr>
          <w:sz w:val="26"/>
          <w:szCs w:val="26"/>
        </w:rPr>
        <w:t>(</w:t>
      </w:r>
      <w:r w:rsidR="00211503">
        <w:rPr>
          <w:sz w:val="26"/>
          <w:szCs w:val="26"/>
        </w:rPr>
        <w:t>Четыреста девяносто две тысячи триста девяносто</w:t>
      </w:r>
      <w:r w:rsidR="00BE35C3" w:rsidRPr="00BE35C3">
        <w:rPr>
          <w:sz w:val="26"/>
          <w:szCs w:val="26"/>
        </w:rPr>
        <w:t>) рубл</w:t>
      </w:r>
      <w:r w:rsidR="00211503">
        <w:rPr>
          <w:sz w:val="26"/>
          <w:szCs w:val="26"/>
        </w:rPr>
        <w:t>ей</w:t>
      </w:r>
      <w:r w:rsidR="00BE35C3" w:rsidRPr="00BE35C3">
        <w:rPr>
          <w:sz w:val="26"/>
          <w:szCs w:val="26"/>
        </w:rPr>
        <w:t xml:space="preserve"> </w:t>
      </w:r>
      <w:r w:rsidR="00211503">
        <w:rPr>
          <w:sz w:val="26"/>
          <w:szCs w:val="26"/>
        </w:rPr>
        <w:t>40</w:t>
      </w:r>
      <w:r w:rsidR="00BE35C3" w:rsidRPr="00BE35C3">
        <w:rPr>
          <w:sz w:val="26"/>
          <w:szCs w:val="26"/>
        </w:rPr>
        <w:t xml:space="preserve"> копеек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proofErr w:type="gramStart"/>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roofErr w:type="gramEnd"/>
    </w:p>
    <w:p w:rsidR="002A5B42" w:rsidRPr="009A6462" w:rsidRDefault="00717F60" w:rsidP="00E71A48">
      <w:pPr>
        <w:pStyle w:val="3"/>
        <w:spacing w:line="264" w:lineRule="auto"/>
        <w:rPr>
          <w:sz w:val="26"/>
          <w:szCs w:val="26"/>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1" w:name="_Ref93090116"/>
      <w:bookmarkStart w:id="262" w:name="_Ref191386482"/>
      <w:bookmarkStart w:id="263" w:name="_Ref440291364"/>
      <w:bookmarkEnd w:id="260"/>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1"/>
      <w:r w:rsidRPr="009A6462">
        <w:rPr>
          <w:bCs w:val="0"/>
          <w:sz w:val="26"/>
          <w:szCs w:val="26"/>
        </w:rPr>
        <w:t>:</w:t>
      </w:r>
      <w:bookmarkStart w:id="264" w:name="_Ref306004833"/>
      <w:bookmarkEnd w:id="262"/>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3"/>
      <w:bookmarkEnd w:id="264"/>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5"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5"/>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6" w:name="_Ref306032455"/>
      <w:r w:rsidRPr="009A6462">
        <w:rPr>
          <w:bCs w:val="0"/>
          <w:color w:val="000000"/>
          <w:sz w:val="26"/>
          <w:szCs w:val="26"/>
        </w:rPr>
        <w:lastRenderedPageBreak/>
        <w:t xml:space="preserve">должен </w:t>
      </w:r>
      <w:bookmarkStart w:id="267"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6"/>
      <w:bookmarkEnd w:id="267"/>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8"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8"/>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9"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70"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9"/>
      <w:bookmarkEnd w:id="270"/>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1"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2"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2"/>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3"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3"/>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4"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4"/>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5"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5"/>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9A6462">
        <w:rPr>
          <w:sz w:val="26"/>
          <w:szCs w:val="26"/>
        </w:rPr>
        <w:t xml:space="preserve">Привлечение </w:t>
      </w:r>
      <w:bookmarkEnd w:id="276"/>
      <w:proofErr w:type="spellStart"/>
      <w:r w:rsidR="005B074F" w:rsidRPr="009A6462">
        <w:rPr>
          <w:sz w:val="26"/>
          <w:szCs w:val="26"/>
        </w:rPr>
        <w:t>сопоставщиков</w:t>
      </w:r>
      <w:bookmarkEnd w:id="277"/>
      <w:bookmarkEnd w:id="278"/>
      <w:bookmarkEnd w:id="279"/>
      <w:bookmarkEnd w:id="280"/>
      <w:bookmarkEnd w:id="281"/>
      <w:bookmarkEnd w:id="282"/>
      <w:bookmarkEnd w:id="283"/>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4"/>
      <w:bookmarkEnd w:id="285"/>
      <w:bookmarkEnd w:id="286"/>
      <w:bookmarkEnd w:id="287"/>
      <w:bookmarkEnd w:id="288"/>
      <w:bookmarkEnd w:id="289"/>
      <w:bookmarkEnd w:id="290"/>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1"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1"/>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2"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2"/>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3"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3"/>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9A6462">
        <w:rPr>
          <w:sz w:val="26"/>
          <w:szCs w:val="26"/>
        </w:rPr>
        <w:t>Разъяснение Документации по запросу предложений</w:t>
      </w:r>
      <w:bookmarkEnd w:id="294"/>
      <w:bookmarkEnd w:id="295"/>
      <w:bookmarkEnd w:id="296"/>
      <w:bookmarkEnd w:id="297"/>
      <w:bookmarkEnd w:id="298"/>
      <w:bookmarkEnd w:id="299"/>
      <w:bookmarkEnd w:id="300"/>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9A6462">
        <w:rPr>
          <w:sz w:val="26"/>
          <w:szCs w:val="26"/>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9A6462">
        <w:rPr>
          <w:sz w:val="26"/>
          <w:szCs w:val="26"/>
        </w:rPr>
        <w:t>Продление срока окончания приема Заявок</w:t>
      </w:r>
      <w:bookmarkEnd w:id="308"/>
      <w:bookmarkEnd w:id="309"/>
      <w:bookmarkEnd w:id="310"/>
      <w:bookmarkEnd w:id="311"/>
      <w:bookmarkEnd w:id="312"/>
      <w:bookmarkEnd w:id="313"/>
      <w:bookmarkEnd w:id="314"/>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5" w:name="_Ref191386249"/>
    </w:p>
    <w:p w:rsidR="00AC1995" w:rsidRPr="009A6462" w:rsidRDefault="00AC1995" w:rsidP="00E71A48">
      <w:pPr>
        <w:pStyle w:val="3"/>
        <w:spacing w:line="264" w:lineRule="auto"/>
        <w:rPr>
          <w:sz w:val="26"/>
          <w:szCs w:val="26"/>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6"/>
      <w:bookmarkEnd w:id="317"/>
      <w:bookmarkEnd w:id="318"/>
      <w:bookmarkEnd w:id="319"/>
      <w:bookmarkEnd w:id="320"/>
      <w:bookmarkEnd w:id="321"/>
      <w:bookmarkEnd w:id="322"/>
      <w:bookmarkEnd w:id="323"/>
      <w:bookmarkEnd w:id="324"/>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5"/>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6" w:name="_Ref307586570"/>
      <w:r w:rsidRPr="009A6462">
        <w:rPr>
          <w:bCs w:val="0"/>
          <w:sz w:val="26"/>
          <w:szCs w:val="26"/>
        </w:rPr>
        <w:t>В соглашении о неустойке должно быть указано</w:t>
      </w:r>
      <w:bookmarkStart w:id="327"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6"/>
      <w:bookmarkEnd w:id="327"/>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8"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8"/>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9" w:name="_Ref299109207"/>
      <w:bookmarkStart w:id="330"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5"/>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211503">
        <w:rPr>
          <w:b/>
          <w:bCs w:val="0"/>
          <w:sz w:val="26"/>
          <w:szCs w:val="26"/>
        </w:rPr>
        <w:t>10</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F34" w:rsidRDefault="00673F34">
      <w:pPr>
        <w:spacing w:line="240" w:lineRule="auto"/>
      </w:pPr>
      <w:r>
        <w:separator/>
      </w:r>
    </w:p>
  </w:endnote>
  <w:endnote w:type="continuationSeparator" w:id="0">
    <w:p w:rsidR="00673F34" w:rsidRDefault="00673F34">
      <w:pPr>
        <w:spacing w:line="240" w:lineRule="auto"/>
      </w:pPr>
      <w:r>
        <w:continuationSeparator/>
      </w:r>
    </w:p>
  </w:endnote>
  <w:endnote w:id="1">
    <w:p w:rsidR="004F2D32" w:rsidRDefault="004F2D32"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2D32" w:rsidRDefault="004F2D3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Pr="00FA0376" w:rsidRDefault="004F2D3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11503">
      <w:rPr>
        <w:noProof/>
        <w:sz w:val="16"/>
        <w:szCs w:val="16"/>
        <w:lang w:eastAsia="ru-RU"/>
      </w:rPr>
      <w:t>32</w:t>
    </w:r>
    <w:r w:rsidRPr="00FA0376">
      <w:rPr>
        <w:sz w:val="16"/>
        <w:szCs w:val="16"/>
        <w:lang w:eastAsia="ru-RU"/>
      </w:rPr>
      <w:fldChar w:fldCharType="end"/>
    </w:r>
  </w:p>
  <w:p w:rsidR="004F2D32" w:rsidRPr="00EE0539" w:rsidRDefault="004F2D3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Pr="003E5DE6">
      <w:rPr>
        <w:sz w:val="18"/>
        <w:szCs w:val="18"/>
      </w:rPr>
      <w:t xml:space="preserve">поставку </w:t>
    </w:r>
    <w:r w:rsidRPr="004F2D32">
      <w:rPr>
        <w:sz w:val="18"/>
        <w:szCs w:val="18"/>
      </w:rPr>
      <w:t xml:space="preserve">медицинских препаратов </w:t>
    </w:r>
    <w:r w:rsidRPr="009337CE">
      <w:rPr>
        <w:sz w:val="18"/>
        <w:szCs w:val="18"/>
      </w:rPr>
      <w:t>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F34" w:rsidRDefault="00673F34">
      <w:pPr>
        <w:spacing w:line="240" w:lineRule="auto"/>
      </w:pPr>
      <w:r>
        <w:separator/>
      </w:r>
    </w:p>
  </w:footnote>
  <w:footnote w:type="continuationSeparator" w:id="0">
    <w:p w:rsidR="00673F34" w:rsidRDefault="00673F34">
      <w:pPr>
        <w:spacing w:line="240" w:lineRule="auto"/>
      </w:pPr>
      <w:r>
        <w:continuationSeparator/>
      </w:r>
    </w:p>
  </w:footnote>
  <w:footnote w:id="1">
    <w:p w:rsidR="004F2D32" w:rsidRDefault="004F2D32"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Pr="00930031" w:rsidRDefault="004F2D3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D32" w:rsidRDefault="004F2D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1503"/>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2D32"/>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34"/>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28CE"/>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CF514-F4AB-4871-A48B-38E9EC847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95</Pages>
  <Words>24230</Words>
  <Characters>138117</Characters>
  <Application>Microsoft Office Word</Application>
  <DocSecurity>0</DocSecurity>
  <Lines>1150</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42</cp:revision>
  <cp:lastPrinted>2015-12-29T14:27:00Z</cp:lastPrinted>
  <dcterms:created xsi:type="dcterms:W3CDTF">2016-04-01T06:18:00Z</dcterms:created>
  <dcterms:modified xsi:type="dcterms:W3CDTF">2016-10-24T12:23:00Z</dcterms:modified>
</cp:coreProperties>
</file>