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E60" w:rsidRDefault="00CF3E60" w:rsidP="00892B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tbl>
      <w:tblPr>
        <w:tblW w:w="5226" w:type="pct"/>
        <w:jc w:val="right"/>
        <w:tblLook w:val="04A0" w:firstRow="1" w:lastRow="0" w:firstColumn="1" w:lastColumn="0" w:noHBand="0" w:noVBand="1"/>
      </w:tblPr>
      <w:tblGrid>
        <w:gridCol w:w="4189"/>
        <w:gridCol w:w="6109"/>
      </w:tblGrid>
      <w:tr w:rsidR="00323EC4" w:rsidRPr="00727082" w:rsidTr="003459AE">
        <w:trPr>
          <w:jc w:val="right"/>
        </w:trPr>
        <w:tc>
          <w:tcPr>
            <w:tcW w:w="2034" w:type="pct"/>
          </w:tcPr>
          <w:p w:rsidR="00323EC4" w:rsidRPr="00727082" w:rsidRDefault="00323EC4" w:rsidP="003459AE">
            <w:pPr>
              <w:ind w:left="471"/>
              <w:jc w:val="center"/>
            </w:pPr>
          </w:p>
        </w:tc>
        <w:tc>
          <w:tcPr>
            <w:tcW w:w="2966" w:type="pct"/>
          </w:tcPr>
          <w:p w:rsidR="00323EC4" w:rsidRPr="00323EC4" w:rsidRDefault="00323EC4" w:rsidP="00323EC4">
            <w:pPr>
              <w:spacing w:after="0"/>
              <w:ind w:hanging="5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3EC4">
              <w:rPr>
                <w:rFonts w:ascii="Times New Roman" w:hAnsi="Times New Roman" w:cs="Times New Roman"/>
                <w:b/>
                <w:sz w:val="24"/>
                <w:szCs w:val="24"/>
              </w:rPr>
              <w:t>“Утверждаю”</w:t>
            </w:r>
          </w:p>
          <w:p w:rsidR="00323EC4" w:rsidRPr="00323EC4" w:rsidRDefault="00323EC4" w:rsidP="00323EC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3EC4">
              <w:rPr>
                <w:rFonts w:ascii="Times New Roman" w:hAnsi="Times New Roman" w:cs="Times New Roman"/>
                <w:sz w:val="24"/>
                <w:szCs w:val="24"/>
              </w:rPr>
              <w:t>Первый заместитель директора –</w:t>
            </w:r>
          </w:p>
          <w:p w:rsidR="00323EC4" w:rsidRPr="00323EC4" w:rsidRDefault="00323EC4" w:rsidP="00323EC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3EC4">
              <w:rPr>
                <w:rFonts w:ascii="Times New Roman" w:hAnsi="Times New Roman" w:cs="Times New Roman"/>
                <w:sz w:val="24"/>
                <w:szCs w:val="24"/>
              </w:rPr>
              <w:t>главный инженер филиала</w:t>
            </w:r>
          </w:p>
          <w:p w:rsidR="00323EC4" w:rsidRPr="00323EC4" w:rsidRDefault="00323EC4" w:rsidP="00323EC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3EC4">
              <w:rPr>
                <w:rFonts w:ascii="Times New Roman" w:hAnsi="Times New Roman" w:cs="Times New Roman"/>
                <w:sz w:val="24"/>
                <w:szCs w:val="24"/>
              </w:rPr>
              <w:t>ПАО «МРСК Центра»</w:t>
            </w:r>
            <w:r w:rsidR="0047795C" w:rsidRPr="008053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3E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7795C" w:rsidRPr="008053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3EC4">
              <w:rPr>
                <w:rFonts w:ascii="Times New Roman" w:hAnsi="Times New Roman" w:cs="Times New Roman"/>
                <w:sz w:val="24"/>
                <w:szCs w:val="24"/>
              </w:rPr>
              <w:t>«Орелэнерго»</w:t>
            </w:r>
          </w:p>
          <w:p w:rsidR="00323EC4" w:rsidRPr="00323EC4" w:rsidRDefault="00323EC4" w:rsidP="00323EC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3EC4">
              <w:rPr>
                <w:rFonts w:ascii="Times New Roman" w:hAnsi="Times New Roman" w:cs="Times New Roman"/>
                <w:sz w:val="24"/>
                <w:szCs w:val="24"/>
              </w:rPr>
              <w:t xml:space="preserve">_______________ И. В. </w:t>
            </w:r>
            <w:proofErr w:type="spellStart"/>
            <w:r w:rsidRPr="00323EC4">
              <w:rPr>
                <w:rFonts w:ascii="Times New Roman" w:hAnsi="Times New Roman" w:cs="Times New Roman"/>
                <w:sz w:val="24"/>
                <w:szCs w:val="24"/>
              </w:rPr>
              <w:t>Колубанов</w:t>
            </w:r>
            <w:proofErr w:type="spellEnd"/>
          </w:p>
          <w:p w:rsidR="00323EC4" w:rsidRPr="00323EC4" w:rsidRDefault="00323EC4" w:rsidP="00623FB6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3EC4">
              <w:rPr>
                <w:rFonts w:ascii="Times New Roman" w:hAnsi="Times New Roman" w:cs="Times New Roman"/>
                <w:sz w:val="24"/>
                <w:szCs w:val="24"/>
              </w:rPr>
              <w:t>«___» _______________ 201</w:t>
            </w:r>
            <w:r w:rsidR="00623F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Pr="00323EC4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323EC4" w:rsidRDefault="00323EC4" w:rsidP="00892B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3EC4" w:rsidRPr="00F32A14" w:rsidRDefault="00323EC4" w:rsidP="00892B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3E60" w:rsidRPr="00F32A14" w:rsidRDefault="00CF3E60" w:rsidP="00892B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2A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</w:p>
    <w:p w:rsidR="00CF3E60" w:rsidRDefault="00085DAA" w:rsidP="00892B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</w:t>
      </w:r>
      <w:r w:rsidR="00E66E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 поставку пломбировочного материала</w:t>
      </w:r>
      <w:r w:rsidR="00CF3E60" w:rsidRPr="00345A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для нужд филиала </w:t>
      </w:r>
      <w:r w:rsidR="00506691" w:rsidRPr="005066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CF3E60" w:rsidRPr="00345A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ПАО «МРСК Центра»</w:t>
      </w:r>
      <w:r w:rsidR="00503410" w:rsidRPr="005034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F3E60" w:rsidRPr="00345A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="00503410" w:rsidRPr="005034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F3E60" w:rsidRPr="00345A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892B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Орел</w:t>
      </w:r>
      <w:r w:rsidR="00CF3E60" w:rsidRPr="00345A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энерго»</w:t>
      </w:r>
    </w:p>
    <w:p w:rsidR="00CF3E60" w:rsidRPr="00506691" w:rsidRDefault="00D6288D" w:rsidP="00892B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Лот 401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Q</w:t>
      </w:r>
    </w:p>
    <w:p w:rsidR="00593950" w:rsidRPr="00F32A14" w:rsidRDefault="00593950" w:rsidP="00892B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</w:p>
    <w:p w:rsidR="00593950" w:rsidRPr="00DC08D1" w:rsidRDefault="00CF3E60" w:rsidP="00623FB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499" w:hanging="35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08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часть.</w:t>
      </w:r>
    </w:p>
    <w:p w:rsidR="00623FB6" w:rsidRPr="00DC08D1" w:rsidRDefault="00623FB6" w:rsidP="000F7DF5">
      <w:pPr>
        <w:pStyle w:val="a3"/>
        <w:ind w:left="0" w:firstLine="5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8D1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 ПАО «МРСК Центра»</w:t>
      </w:r>
      <w:r w:rsidR="00503410" w:rsidRPr="00DC08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DC08D1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«Орелэнерго» производит закупку пломбировочных материалов с целью исключения несанкционированного доступа к средствам измерения и их метрологическим характеристикам.</w:t>
      </w:r>
    </w:p>
    <w:p w:rsidR="00CF3E60" w:rsidRPr="00DC08D1" w:rsidRDefault="00623FB6" w:rsidP="000F7DF5">
      <w:pPr>
        <w:pStyle w:val="a3"/>
        <w:spacing w:after="240"/>
        <w:ind w:left="0" w:firstLine="5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8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Закупка производится в рамках годовой комплексной программы закупок  </w:t>
      </w:r>
      <w:r w:rsidRPr="00DC08D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ПАО «МРСК Центра» </w:t>
      </w:r>
      <w:r w:rsidR="00503410" w:rsidRPr="00DC08D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DC08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«Орелэнерго» на 2020 год. Объем закупаемой продукции обоснован годовой потребностью в материалах в 2020 году.</w:t>
      </w:r>
    </w:p>
    <w:p w:rsidR="00CF3E60" w:rsidRPr="00DC08D1" w:rsidRDefault="00CF3E60" w:rsidP="00892BBC">
      <w:pPr>
        <w:numPr>
          <w:ilvl w:val="0"/>
          <w:numId w:val="1"/>
        </w:numPr>
        <w:tabs>
          <w:tab w:val="left" w:pos="993"/>
        </w:tabs>
        <w:spacing w:after="24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08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</w:t>
      </w:r>
      <w:r w:rsidR="00892BBC" w:rsidRPr="00DC08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конкурса</w:t>
      </w:r>
      <w:r w:rsidRPr="00DC08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CF3E60" w:rsidRPr="00DC08D1" w:rsidRDefault="00892BBC" w:rsidP="000F7DF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8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обеспечивает поставку продукции на склад получателя – филиала </w:t>
      </w:r>
      <w:r w:rsidR="006341DD" w:rsidRPr="00DC08D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C08D1">
        <w:rPr>
          <w:rFonts w:ascii="Times New Roman" w:eastAsia="Times New Roman" w:hAnsi="Times New Roman" w:cs="Times New Roman"/>
          <w:sz w:val="24"/>
          <w:szCs w:val="24"/>
          <w:lang w:eastAsia="ru-RU"/>
        </w:rPr>
        <w:t>ПАО «МРСК Центра» - «Орелэнерго». Объем поставки, технические, а также иные требования к закупаемой продукции устанавливаются настоящим техническим заданием</w:t>
      </w:r>
      <w:r w:rsidR="00CF3E60" w:rsidRPr="00DC08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92BBC" w:rsidRPr="0080537C" w:rsidRDefault="00892BBC" w:rsidP="000F7DF5">
      <w:pPr>
        <w:spacing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8D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Доставка продукции осуществляется за счет Поставщика (стоимость входит в цену предложения) на склад филиала, расположенный:</w:t>
      </w:r>
    </w:p>
    <w:tbl>
      <w:tblPr>
        <w:tblStyle w:val="a7"/>
        <w:tblW w:w="9747" w:type="dxa"/>
        <w:tblLook w:val="04A0" w:firstRow="1" w:lastRow="0" w:firstColumn="1" w:lastColumn="0" w:noHBand="0" w:noVBand="1"/>
      </w:tblPr>
      <w:tblGrid>
        <w:gridCol w:w="1526"/>
        <w:gridCol w:w="1701"/>
        <w:gridCol w:w="3402"/>
        <w:gridCol w:w="3118"/>
      </w:tblGrid>
      <w:tr w:rsidR="00EA742F" w:rsidTr="00EA742F">
        <w:tc>
          <w:tcPr>
            <w:tcW w:w="1526" w:type="dxa"/>
            <w:vAlign w:val="center"/>
          </w:tcPr>
          <w:p w:rsidR="00EA742F" w:rsidRPr="007106C4" w:rsidRDefault="00EA742F" w:rsidP="00E17BDF">
            <w:pPr>
              <w:jc w:val="center"/>
              <w:rPr>
                <w:color w:val="000000"/>
              </w:rPr>
            </w:pPr>
            <w:r w:rsidRPr="00391924">
              <w:t>Филиал</w:t>
            </w:r>
          </w:p>
        </w:tc>
        <w:tc>
          <w:tcPr>
            <w:tcW w:w="1701" w:type="dxa"/>
            <w:vAlign w:val="center"/>
          </w:tcPr>
          <w:p w:rsidR="00EA742F" w:rsidRPr="007106C4" w:rsidRDefault="00EA742F" w:rsidP="00E17BDF">
            <w:pPr>
              <w:jc w:val="center"/>
              <w:rPr>
                <w:color w:val="000000"/>
              </w:rPr>
            </w:pPr>
            <w:r w:rsidRPr="007106C4">
              <w:rPr>
                <w:color w:val="000000"/>
              </w:rPr>
              <w:t>Вид транспорта</w:t>
            </w:r>
          </w:p>
        </w:tc>
        <w:tc>
          <w:tcPr>
            <w:tcW w:w="3402" w:type="dxa"/>
            <w:vAlign w:val="center"/>
          </w:tcPr>
          <w:p w:rsidR="00EA742F" w:rsidRPr="007106C4" w:rsidRDefault="00EA742F" w:rsidP="00E17BDF">
            <w:pPr>
              <w:jc w:val="center"/>
              <w:rPr>
                <w:color w:val="000000"/>
              </w:rPr>
            </w:pPr>
            <w:r w:rsidRPr="007106C4">
              <w:rPr>
                <w:color w:val="000000"/>
              </w:rPr>
              <w:t>Точка поставки</w:t>
            </w:r>
          </w:p>
        </w:tc>
        <w:tc>
          <w:tcPr>
            <w:tcW w:w="3118" w:type="dxa"/>
            <w:vAlign w:val="center"/>
          </w:tcPr>
          <w:p w:rsidR="00EA742F" w:rsidRPr="00391924" w:rsidRDefault="00EA742F" w:rsidP="00E17BDF">
            <w:pPr>
              <w:pStyle w:val="a3"/>
              <w:tabs>
                <w:tab w:val="left" w:pos="993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391924">
              <w:rPr>
                <w:sz w:val="24"/>
                <w:szCs w:val="24"/>
              </w:rPr>
              <w:t>Срок поставки</w:t>
            </w:r>
          </w:p>
        </w:tc>
      </w:tr>
      <w:tr w:rsidR="00EA742F" w:rsidTr="00EA742F">
        <w:trPr>
          <w:trHeight w:val="966"/>
        </w:trPr>
        <w:tc>
          <w:tcPr>
            <w:tcW w:w="1526" w:type="dxa"/>
            <w:vAlign w:val="center"/>
          </w:tcPr>
          <w:p w:rsidR="00EA742F" w:rsidRPr="007106C4" w:rsidRDefault="00EA742F" w:rsidP="00E17BDF">
            <w:pPr>
              <w:jc w:val="center"/>
              <w:rPr>
                <w:color w:val="000000"/>
              </w:rPr>
            </w:pPr>
            <w:r w:rsidRPr="007106C4">
              <w:t>«</w:t>
            </w:r>
            <w:r>
              <w:t>Орел</w:t>
            </w:r>
            <w:r w:rsidRPr="007106C4">
              <w:t>энерго»</w:t>
            </w:r>
          </w:p>
        </w:tc>
        <w:tc>
          <w:tcPr>
            <w:tcW w:w="1701" w:type="dxa"/>
            <w:vAlign w:val="center"/>
          </w:tcPr>
          <w:p w:rsidR="00EA742F" w:rsidRPr="007106C4" w:rsidRDefault="00EA742F" w:rsidP="00E17BDF">
            <w:pPr>
              <w:jc w:val="center"/>
            </w:pPr>
            <w:r w:rsidRPr="007106C4">
              <w:rPr>
                <w:color w:val="000000"/>
              </w:rPr>
              <w:t>авто</w:t>
            </w:r>
          </w:p>
        </w:tc>
        <w:tc>
          <w:tcPr>
            <w:tcW w:w="3402" w:type="dxa"/>
            <w:vAlign w:val="center"/>
          </w:tcPr>
          <w:p w:rsidR="00EA742F" w:rsidRPr="007106C4" w:rsidRDefault="00EA742F" w:rsidP="00E17BDF">
            <w:pPr>
              <w:jc w:val="center"/>
              <w:rPr>
                <w:color w:val="000000"/>
              </w:rPr>
            </w:pPr>
            <w:r w:rsidRPr="007106C4">
              <w:rPr>
                <w:color w:val="000000"/>
              </w:rPr>
              <w:t>Центральный склад филиала ПАО «МРСК Центра» - «</w:t>
            </w:r>
            <w:r>
              <w:rPr>
                <w:color w:val="000000"/>
              </w:rPr>
              <w:t>Орел</w:t>
            </w:r>
            <w:r w:rsidRPr="007106C4">
              <w:rPr>
                <w:color w:val="000000"/>
              </w:rPr>
              <w:t xml:space="preserve">энерго», </w:t>
            </w:r>
            <w:r w:rsidRPr="001C2044">
              <w:rPr>
                <w:color w:val="000000"/>
              </w:rPr>
              <w:t xml:space="preserve"> Орловская область, г. Орел, ул. Высоковольтная, 9</w:t>
            </w:r>
            <w:r>
              <w:rPr>
                <w:color w:val="000000"/>
              </w:rPr>
              <w:t>.</w:t>
            </w:r>
          </w:p>
        </w:tc>
        <w:tc>
          <w:tcPr>
            <w:tcW w:w="3118" w:type="dxa"/>
            <w:vAlign w:val="center"/>
          </w:tcPr>
          <w:p w:rsidR="00EA742F" w:rsidRPr="00D33072" w:rsidRDefault="00D33072" w:rsidP="00E17BDF">
            <w:pPr>
              <w:jc w:val="center"/>
              <w:rPr>
                <w:color w:val="000000"/>
              </w:rPr>
            </w:pPr>
            <w:r w:rsidRPr="00D33072">
              <w:t>В течение 10 календарных дней с момента подачи заявки от филиала, но не позднее 31.12.2020</w:t>
            </w:r>
          </w:p>
        </w:tc>
      </w:tr>
    </w:tbl>
    <w:p w:rsidR="00892BBC" w:rsidRPr="00DC08D1" w:rsidRDefault="00892BBC" w:rsidP="00FC2380">
      <w:pPr>
        <w:spacing w:before="120" w:after="240" w:line="240" w:lineRule="auto"/>
        <w:ind w:firstLine="709"/>
        <w:jc w:val="both"/>
        <w:rPr>
          <w:sz w:val="24"/>
          <w:szCs w:val="24"/>
        </w:rPr>
      </w:pPr>
      <w:r w:rsidRPr="00DC08D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 и условия транспортировки продукции должны исключать возможность ее повреждения или порчи во время перевозки.</w:t>
      </w:r>
    </w:p>
    <w:p w:rsidR="00CF3E60" w:rsidRPr="00DC08D1" w:rsidRDefault="00CF3E60" w:rsidP="00892BBC">
      <w:pPr>
        <w:spacing w:after="24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8D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Доставка материалов в филиал осуществляется в следующих объемах:</w:t>
      </w:r>
    </w:p>
    <w:p w:rsidR="00CF3E60" w:rsidRPr="00F32A14" w:rsidRDefault="00CF3E60" w:rsidP="00892BBC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A1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№1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3"/>
        <w:gridCol w:w="3909"/>
        <w:gridCol w:w="873"/>
        <w:gridCol w:w="1023"/>
        <w:gridCol w:w="3359"/>
      </w:tblGrid>
      <w:tr w:rsidR="00317559" w:rsidRPr="00951605" w:rsidTr="00EA742F">
        <w:trPr>
          <w:trHeight w:val="600"/>
        </w:trPr>
        <w:tc>
          <w:tcPr>
            <w:tcW w:w="299" w:type="pct"/>
            <w:shd w:val="clear" w:color="auto" w:fill="auto"/>
            <w:vAlign w:val="center"/>
            <w:hideMark/>
          </w:tcPr>
          <w:p w:rsidR="00317559" w:rsidRPr="00951605" w:rsidRDefault="00317559" w:rsidP="00864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16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005" w:type="pct"/>
            <w:shd w:val="clear" w:color="auto" w:fill="auto"/>
            <w:vAlign w:val="center"/>
            <w:hideMark/>
          </w:tcPr>
          <w:p w:rsidR="00317559" w:rsidRPr="00951605" w:rsidRDefault="00317559" w:rsidP="00864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16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Пломбировочный материал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317559" w:rsidRPr="00951605" w:rsidRDefault="00317559" w:rsidP="00864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16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  <w:r w:rsidR="00593950" w:rsidRPr="009516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516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изм.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317559" w:rsidRPr="00951605" w:rsidRDefault="00317559" w:rsidP="00864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16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4" w:type="pct"/>
            <w:shd w:val="clear" w:color="auto" w:fill="auto"/>
            <w:vAlign w:val="center"/>
          </w:tcPr>
          <w:p w:rsidR="00317559" w:rsidRPr="00951605" w:rsidRDefault="00317559" w:rsidP="008643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16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Нумерация</w:t>
            </w:r>
          </w:p>
        </w:tc>
      </w:tr>
      <w:tr w:rsidR="00FC2380" w:rsidRPr="00951605" w:rsidTr="00EA742F">
        <w:trPr>
          <w:trHeight w:val="677"/>
        </w:trPr>
        <w:tc>
          <w:tcPr>
            <w:tcW w:w="299" w:type="pct"/>
            <w:shd w:val="clear" w:color="auto" w:fill="auto"/>
            <w:vAlign w:val="center"/>
          </w:tcPr>
          <w:p w:rsidR="00FC2380" w:rsidRPr="00951605" w:rsidRDefault="00FC2380" w:rsidP="00864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16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05" w:type="pct"/>
            <w:shd w:val="clear" w:color="auto" w:fill="auto"/>
            <w:vAlign w:val="center"/>
          </w:tcPr>
          <w:p w:rsidR="00FC2380" w:rsidRPr="00951605" w:rsidRDefault="00FC2380" w:rsidP="00864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16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Пломба-наклейка с индикатором воздействия магнитного поля 2</w:t>
            </w:r>
            <w:r w:rsidR="00D03B28" w:rsidRPr="009516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Pr="009516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х60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FC2380" w:rsidRPr="00951605" w:rsidRDefault="00FC2380" w:rsidP="00864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16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FC2380" w:rsidRPr="00951605" w:rsidRDefault="00012805" w:rsidP="0063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25 000</w:t>
            </w:r>
          </w:p>
        </w:tc>
        <w:tc>
          <w:tcPr>
            <w:tcW w:w="1724" w:type="pct"/>
            <w:shd w:val="clear" w:color="auto" w:fill="auto"/>
            <w:vAlign w:val="center"/>
          </w:tcPr>
          <w:p w:rsidR="00FC2380" w:rsidRPr="00951605" w:rsidRDefault="00FB7893" w:rsidP="0001280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16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57АМ 00</w:t>
            </w:r>
            <w:r w:rsidR="00012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49650</w:t>
            </w:r>
            <w:r w:rsidRPr="009516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- 57АМ 00</w:t>
            </w:r>
            <w:r w:rsidR="00012805" w:rsidRPr="00012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746</w:t>
            </w:r>
            <w:r w:rsidR="000128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49</w:t>
            </w:r>
            <w:r w:rsidRPr="009516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:rsidR="00DC08D1" w:rsidRPr="00DC08D1" w:rsidRDefault="00DC08D1" w:rsidP="00DC08D1">
      <w:pPr>
        <w:pStyle w:val="a3"/>
        <w:tabs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2380" w:rsidRPr="00FC2380" w:rsidRDefault="00FC2380" w:rsidP="00665ADD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2380">
        <w:rPr>
          <w:rFonts w:ascii="Times New Roman" w:hAnsi="Times New Roman" w:cs="Times New Roman"/>
          <w:b/>
          <w:bCs/>
          <w:sz w:val="24"/>
          <w:szCs w:val="24"/>
        </w:rPr>
        <w:t>Общие требования.</w:t>
      </w:r>
    </w:p>
    <w:p w:rsidR="00FC2380" w:rsidRPr="00FC2380" w:rsidRDefault="00FC2380" w:rsidP="00665ADD">
      <w:pPr>
        <w:numPr>
          <w:ilvl w:val="1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380">
        <w:rPr>
          <w:rFonts w:ascii="Times New Roman" w:hAnsi="Times New Roman" w:cs="Times New Roman"/>
          <w:sz w:val="24"/>
          <w:szCs w:val="24"/>
        </w:rPr>
        <w:t>Продукция должна быть поставлена в соответствии с номенклатурой и количеством, определенным в таблице №1, и ГОСТ 31282-2004 «Устройства пломбировочные. Классификация» и ГОСТ 31283-2004 «Пломбы индикаторные. Общие технические требования».</w:t>
      </w:r>
    </w:p>
    <w:p w:rsidR="00FC2380" w:rsidRPr="00FC2380" w:rsidRDefault="00FC2380" w:rsidP="00665ADD">
      <w:pPr>
        <w:numPr>
          <w:ilvl w:val="1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380">
        <w:rPr>
          <w:rFonts w:ascii="Times New Roman" w:hAnsi="Times New Roman" w:cs="Times New Roman"/>
          <w:sz w:val="24"/>
          <w:szCs w:val="24"/>
        </w:rPr>
        <w:t xml:space="preserve"> Продукция должна быть новой, ранее не использованной и дата изготовления не ранее 1 квартала </w:t>
      </w:r>
      <w:r w:rsidR="00665ADD">
        <w:rPr>
          <w:rFonts w:ascii="Times New Roman" w:hAnsi="Times New Roman" w:cs="Times New Roman"/>
          <w:sz w:val="24"/>
          <w:szCs w:val="24"/>
        </w:rPr>
        <w:t>2020</w:t>
      </w:r>
      <w:r w:rsidRPr="00FC2380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FC2380" w:rsidRPr="00FC2380" w:rsidRDefault="00FC2380" w:rsidP="00665ADD">
      <w:pPr>
        <w:numPr>
          <w:ilvl w:val="1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380">
        <w:rPr>
          <w:rFonts w:ascii="Times New Roman" w:hAnsi="Times New Roman" w:cs="Times New Roman"/>
          <w:sz w:val="24"/>
          <w:szCs w:val="24"/>
        </w:rPr>
        <w:lastRenderedPageBreak/>
        <w:t>Обязательным условием является предоставление в составе конкурсной документации дилерских свидетельств заводов-изготовителей или письменное подтверждение завода-изготовителя на право поставки ТМЦ.</w:t>
      </w:r>
    </w:p>
    <w:p w:rsidR="00FC2380" w:rsidRPr="00FC2380" w:rsidRDefault="00FC2380" w:rsidP="00665ADD">
      <w:pPr>
        <w:numPr>
          <w:ilvl w:val="1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380">
        <w:rPr>
          <w:rFonts w:ascii="Times New Roman" w:hAnsi="Times New Roman" w:cs="Times New Roman"/>
          <w:sz w:val="24"/>
          <w:szCs w:val="24"/>
        </w:rPr>
        <w:t>Продукция, подлежащая обязательной сертификации, должна иметь сертификаты соответствия в соответствии с ФЗ от 27.12.2002 года №184-ФЗ «О техническом регулировании». Копия данных документов предоставляется вместе с конкурсной документацией.</w:t>
      </w:r>
    </w:p>
    <w:p w:rsidR="00FC2380" w:rsidRPr="00FC2380" w:rsidRDefault="00FC2380" w:rsidP="00665ADD">
      <w:pPr>
        <w:numPr>
          <w:ilvl w:val="1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380">
        <w:rPr>
          <w:rFonts w:ascii="Times New Roman" w:hAnsi="Times New Roman" w:cs="Times New Roman"/>
          <w:sz w:val="24"/>
          <w:szCs w:val="24"/>
        </w:rPr>
        <w:t>Климатическое исполнение в соответствии с Межгосударственным Стандартом ГОСТ 15150-69 (Машины, приборы и другие технические изделия). Исполнение для различных климатических районов. Категория, условия эксплуатации, хранения и транспортирования в части климатических факторов внешней среды.</w:t>
      </w:r>
    </w:p>
    <w:p w:rsidR="00FC2380" w:rsidRPr="00FC2380" w:rsidRDefault="00FC2380" w:rsidP="00665ADD">
      <w:pPr>
        <w:numPr>
          <w:ilvl w:val="1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380">
        <w:rPr>
          <w:rFonts w:ascii="Times New Roman" w:hAnsi="Times New Roman" w:cs="Times New Roman"/>
          <w:sz w:val="24"/>
          <w:szCs w:val="24"/>
        </w:rPr>
        <w:t>Приемка продукции Покупателем по количеству и качеству производится в соответствии с «Инструкцией о порядке приемки продукции производственно-технического назначения и товаров народного потребления по качеств», утвержденной постановлением Госарбитража при Совете Министров СССР от 25.04.1966 г. №П-7 (с изменениями и дополнениями) и «Инструкцией о порядке приемки продукции производственно-технического назначения и товаров народного потребления по количеству» от 15.07.1965г. №П-6, утвержденной постановлением Госарбитража при Совете Министров СССР (с изменениями  и дополнениями).</w:t>
      </w:r>
    </w:p>
    <w:p w:rsidR="00FC2380" w:rsidRPr="00FC2380" w:rsidRDefault="00FC2380" w:rsidP="00665ADD">
      <w:pPr>
        <w:numPr>
          <w:ilvl w:val="1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380">
        <w:rPr>
          <w:rFonts w:ascii="Times New Roman" w:hAnsi="Times New Roman" w:cs="Times New Roman"/>
          <w:sz w:val="24"/>
          <w:szCs w:val="24"/>
        </w:rPr>
        <w:t>Общие требования, предъявляемые к устройствам предотвращения несанкционированного доступа к приборам учета электроэнергии (Контрольные пломбы, далее КП).</w:t>
      </w:r>
    </w:p>
    <w:p w:rsidR="00FC2380" w:rsidRPr="00FC2380" w:rsidRDefault="00FC2380" w:rsidP="00665ADD">
      <w:pPr>
        <w:pStyle w:val="a3"/>
        <w:numPr>
          <w:ilvl w:val="1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380">
        <w:rPr>
          <w:rFonts w:ascii="Times New Roman" w:hAnsi="Times New Roman" w:cs="Times New Roman"/>
          <w:sz w:val="24"/>
          <w:szCs w:val="24"/>
        </w:rPr>
        <w:t>КП должны устанавливаться без использования дополнительного инструмента/механизма. КП должны быть одноразовыми. КП должна препятствовать снятию их с объекта пломбирования без нарушения целостности конструкции, что должно определяться как визуально, так и в случае необходимости, с применением приборов и специальных методов исследования. Конструкция КП должна исключать возможность повторного использования, как самих КПП, так и их составных частей после снятия</w:t>
      </w:r>
    </w:p>
    <w:p w:rsidR="00FC2380" w:rsidRPr="00FC2380" w:rsidRDefault="00FC2380" w:rsidP="00665ADD">
      <w:pPr>
        <w:pStyle w:val="a3"/>
        <w:numPr>
          <w:ilvl w:val="1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380">
        <w:rPr>
          <w:rFonts w:ascii="Times New Roman" w:hAnsi="Times New Roman" w:cs="Times New Roman"/>
          <w:sz w:val="24"/>
          <w:szCs w:val="24"/>
        </w:rPr>
        <w:t xml:space="preserve">КП должны иметь нанесенную на них информацию – идентификационный номер, начинающийся с цифр 57 (шифр филиала «Орелэнерго»), а так же логотип и наименование сетевой организации в соответствии с Приложение №2. КП должны иметь сквозную не повторяющуюся нумерацию. Номерной знак (код) должен быть нанесен на каждую составную часть КП. Все составные части, входящие в КП должны быть снабжены одинаковыми знаками (кодами), либо при невозможности полного дублирования наносятся последние пять знаков. Метод нанесения номерного знака (кода) должен обеспечивать его </w:t>
      </w:r>
      <w:proofErr w:type="spellStart"/>
      <w:r w:rsidRPr="00FC2380">
        <w:rPr>
          <w:rFonts w:ascii="Times New Roman" w:hAnsi="Times New Roman" w:cs="Times New Roman"/>
          <w:sz w:val="24"/>
          <w:szCs w:val="24"/>
        </w:rPr>
        <w:t>нестираемость</w:t>
      </w:r>
      <w:proofErr w:type="spellEnd"/>
      <w:r w:rsidRPr="00FC238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C2380">
        <w:rPr>
          <w:rFonts w:ascii="Times New Roman" w:hAnsi="Times New Roman" w:cs="Times New Roman"/>
          <w:sz w:val="24"/>
          <w:szCs w:val="24"/>
        </w:rPr>
        <w:t>невоспроизводимость</w:t>
      </w:r>
      <w:proofErr w:type="spellEnd"/>
      <w:r w:rsidRPr="00FC2380">
        <w:rPr>
          <w:rFonts w:ascii="Times New Roman" w:hAnsi="Times New Roman" w:cs="Times New Roman"/>
          <w:sz w:val="24"/>
          <w:szCs w:val="24"/>
        </w:rPr>
        <w:t>. Маркировка должна быть четкой, разборчивой, распознаваемой (читаемой) при осмотре в соответствии с ГОСТ  31283 – 2004.</w:t>
      </w:r>
    </w:p>
    <w:p w:rsidR="00FC2380" w:rsidRPr="00FC2380" w:rsidRDefault="00FC2380" w:rsidP="00665ADD">
      <w:pPr>
        <w:pStyle w:val="a3"/>
        <w:numPr>
          <w:ilvl w:val="1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380">
        <w:rPr>
          <w:rFonts w:ascii="Times New Roman" w:hAnsi="Times New Roman" w:cs="Times New Roman"/>
          <w:sz w:val="24"/>
          <w:szCs w:val="24"/>
        </w:rPr>
        <w:t xml:space="preserve">КП должны оставаться работоспособными без разрушения под действием предельно допустимого растягивающего усилия в соответствии с ГОСТ 31283 – 2004. </w:t>
      </w:r>
    </w:p>
    <w:p w:rsidR="00FC2380" w:rsidRPr="00FC2380" w:rsidRDefault="00FC2380" w:rsidP="00665ADD">
      <w:pPr>
        <w:pStyle w:val="a3"/>
        <w:numPr>
          <w:ilvl w:val="1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380">
        <w:rPr>
          <w:rFonts w:ascii="Times New Roman" w:hAnsi="Times New Roman" w:cs="Times New Roman"/>
          <w:sz w:val="24"/>
          <w:szCs w:val="24"/>
        </w:rPr>
        <w:t>КП должны сохранять работоспособность при воздействии:</w:t>
      </w:r>
    </w:p>
    <w:p w:rsidR="00FC2380" w:rsidRPr="00FC2380" w:rsidRDefault="00FC2380" w:rsidP="00665ADD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380">
        <w:rPr>
          <w:rFonts w:ascii="Times New Roman" w:hAnsi="Times New Roman" w:cs="Times New Roman"/>
          <w:sz w:val="24"/>
          <w:szCs w:val="24"/>
        </w:rPr>
        <w:t>Многократных ударов;</w:t>
      </w:r>
    </w:p>
    <w:p w:rsidR="00FC2380" w:rsidRPr="00FC2380" w:rsidRDefault="00FC2380" w:rsidP="00665ADD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380">
        <w:rPr>
          <w:rFonts w:ascii="Times New Roman" w:hAnsi="Times New Roman" w:cs="Times New Roman"/>
          <w:sz w:val="24"/>
          <w:szCs w:val="24"/>
        </w:rPr>
        <w:t>Одиночных ударов.</w:t>
      </w:r>
    </w:p>
    <w:p w:rsidR="00FC2380" w:rsidRPr="00FC2380" w:rsidRDefault="00FC2380" w:rsidP="00665A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380">
        <w:rPr>
          <w:rFonts w:ascii="Times New Roman" w:hAnsi="Times New Roman" w:cs="Times New Roman"/>
          <w:sz w:val="24"/>
          <w:szCs w:val="24"/>
        </w:rPr>
        <w:t>(Нагрузки при многократных и одиночных ударах должны имитировать реальные нагрузки, возникающие в процессе эксплуатации КП).</w:t>
      </w:r>
    </w:p>
    <w:p w:rsidR="00FC2380" w:rsidRPr="00FC2380" w:rsidRDefault="00FC2380" w:rsidP="00665ADD">
      <w:pPr>
        <w:pStyle w:val="a3"/>
        <w:numPr>
          <w:ilvl w:val="1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380">
        <w:rPr>
          <w:rFonts w:ascii="Times New Roman" w:hAnsi="Times New Roman" w:cs="Times New Roman"/>
          <w:sz w:val="24"/>
          <w:szCs w:val="24"/>
        </w:rPr>
        <w:t>КП должны быть стойкими к изменению температуры окружающей среды (от – 40 до +80 градусов по Цельсию).</w:t>
      </w:r>
    </w:p>
    <w:p w:rsidR="00FC2380" w:rsidRPr="00FC2380" w:rsidRDefault="00FC2380" w:rsidP="00665ADD">
      <w:pPr>
        <w:pStyle w:val="a3"/>
        <w:numPr>
          <w:ilvl w:val="1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380">
        <w:rPr>
          <w:rFonts w:ascii="Times New Roman" w:hAnsi="Times New Roman" w:cs="Times New Roman"/>
          <w:sz w:val="24"/>
          <w:szCs w:val="24"/>
        </w:rPr>
        <w:t xml:space="preserve">Конструкция и технология изготовления КП, а </w:t>
      </w:r>
      <w:proofErr w:type="gramStart"/>
      <w:r w:rsidRPr="00FC2380">
        <w:rPr>
          <w:rFonts w:ascii="Times New Roman" w:hAnsi="Times New Roman" w:cs="Times New Roman"/>
          <w:sz w:val="24"/>
          <w:szCs w:val="24"/>
        </w:rPr>
        <w:t>так же</w:t>
      </w:r>
      <w:proofErr w:type="gramEnd"/>
      <w:r w:rsidRPr="00FC2380">
        <w:rPr>
          <w:rFonts w:ascii="Times New Roman" w:hAnsi="Times New Roman" w:cs="Times New Roman"/>
          <w:sz w:val="24"/>
          <w:szCs w:val="24"/>
        </w:rPr>
        <w:t xml:space="preserve"> наносимая на КП информация должны исключать возможность изготовления дубликатов устройств и их </w:t>
      </w:r>
      <w:r w:rsidRPr="00FC2380">
        <w:rPr>
          <w:rFonts w:ascii="Times New Roman" w:hAnsi="Times New Roman" w:cs="Times New Roman"/>
          <w:sz w:val="24"/>
          <w:szCs w:val="24"/>
        </w:rPr>
        <w:lastRenderedPageBreak/>
        <w:t>составных частей вне заводских условиях, а так же исключать возможность подмены составных частей путем использования аналогичных элементов из других КПП.</w:t>
      </w:r>
    </w:p>
    <w:p w:rsidR="00FC2380" w:rsidRPr="00FC2380" w:rsidRDefault="00FC2380" w:rsidP="00665ADD">
      <w:pPr>
        <w:pStyle w:val="a3"/>
        <w:numPr>
          <w:ilvl w:val="1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380">
        <w:rPr>
          <w:rFonts w:ascii="Times New Roman" w:hAnsi="Times New Roman" w:cs="Times New Roman"/>
          <w:sz w:val="24"/>
          <w:szCs w:val="24"/>
        </w:rPr>
        <w:t>КП должны обеспечивать безопасную работу персонала при их установке, снятии и обслуживании.</w:t>
      </w:r>
    </w:p>
    <w:p w:rsidR="00FC2380" w:rsidRPr="00FC2380" w:rsidRDefault="00FC2380" w:rsidP="00665ADD">
      <w:pPr>
        <w:pStyle w:val="a3"/>
        <w:numPr>
          <w:ilvl w:val="1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380">
        <w:rPr>
          <w:rFonts w:ascii="Times New Roman" w:hAnsi="Times New Roman" w:cs="Times New Roman"/>
          <w:sz w:val="24"/>
          <w:szCs w:val="24"/>
        </w:rPr>
        <w:t>Срок службы КП должен быть не менее 5 лет с момента изготовления.</w:t>
      </w:r>
    </w:p>
    <w:p w:rsidR="00FC2380" w:rsidRPr="00FC2380" w:rsidRDefault="00FC2380" w:rsidP="00665ADD">
      <w:pPr>
        <w:pStyle w:val="a3"/>
        <w:numPr>
          <w:ilvl w:val="1"/>
          <w:numId w:val="7"/>
        </w:numPr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2380">
        <w:rPr>
          <w:rFonts w:ascii="Times New Roman" w:hAnsi="Times New Roman" w:cs="Times New Roman"/>
          <w:sz w:val="24"/>
          <w:szCs w:val="24"/>
        </w:rPr>
        <w:t>Поставщики пломбировочного материала одновременно с заявкой на участие в закупке должны представить образцы предлагаемого к поставке пломбировочного материала.</w:t>
      </w:r>
    </w:p>
    <w:p w:rsidR="00FC2380" w:rsidRPr="00FC2380" w:rsidRDefault="00FC2380" w:rsidP="000F7DF5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2380">
        <w:rPr>
          <w:rFonts w:ascii="Times New Roman" w:hAnsi="Times New Roman" w:cs="Times New Roman"/>
          <w:b/>
          <w:bCs/>
          <w:sz w:val="24"/>
          <w:szCs w:val="24"/>
        </w:rPr>
        <w:t>Технические требования к пломбировочным материалам.</w:t>
      </w:r>
    </w:p>
    <w:p w:rsidR="00FC2380" w:rsidRPr="0054178A" w:rsidRDefault="00FC2380" w:rsidP="000F7DF5">
      <w:pPr>
        <w:numPr>
          <w:ilvl w:val="1"/>
          <w:numId w:val="1"/>
        </w:numPr>
        <w:tabs>
          <w:tab w:val="left" w:pos="993"/>
        </w:tabs>
        <w:spacing w:after="0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4178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Пломба-наклейка с индикатором воздействия магнитного поля 2</w:t>
      </w:r>
      <w:r w:rsidR="0054178A" w:rsidRPr="0054178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</w:t>
      </w:r>
      <w:r w:rsidRPr="0054178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х60.</w:t>
      </w:r>
    </w:p>
    <w:p w:rsidR="0054178A" w:rsidRDefault="009838F3" w:rsidP="000F7DF5">
      <w:pPr>
        <w:pStyle w:val="a3"/>
        <w:tabs>
          <w:tab w:val="left" w:pos="1418"/>
        </w:tabs>
        <w:spacing w:after="0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object w:dxaOrig="2620" w:dyaOrig="10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7.75pt;height:110.25pt" o:ole="">
            <v:imagedata r:id="rId5" o:title=""/>
          </v:shape>
          <o:OLEObject Type="Embed" ProgID="Visio.Drawing.11" ShapeID="_x0000_i1025" DrawAspect="Content" ObjectID="_1634542158" r:id="rId6"/>
        </w:object>
      </w:r>
    </w:p>
    <w:p w:rsidR="001B30C2" w:rsidRDefault="00FC2380" w:rsidP="000F7DF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78A">
        <w:rPr>
          <w:rFonts w:ascii="Times New Roman" w:hAnsi="Times New Roman" w:cs="Times New Roman"/>
          <w:sz w:val="24"/>
          <w:szCs w:val="24"/>
        </w:rPr>
        <w:t xml:space="preserve">Пломбировочные наклейки с индикацией магнитного воздействия, должны быть одноразовыми, выполненными, в виде пломбировочной индикаторной наклейки снабженной капсулой с </w:t>
      </w:r>
      <w:proofErr w:type="spellStart"/>
      <w:r w:rsidRPr="0054178A">
        <w:rPr>
          <w:rFonts w:ascii="Times New Roman" w:hAnsi="Times New Roman" w:cs="Times New Roman"/>
          <w:sz w:val="24"/>
          <w:szCs w:val="24"/>
        </w:rPr>
        <w:t>магниточувствительной</w:t>
      </w:r>
      <w:proofErr w:type="spellEnd"/>
      <w:r w:rsidRPr="0054178A">
        <w:rPr>
          <w:rFonts w:ascii="Times New Roman" w:hAnsi="Times New Roman" w:cs="Times New Roman"/>
          <w:sz w:val="24"/>
          <w:szCs w:val="24"/>
        </w:rPr>
        <w:t xml:space="preserve"> суспензией </w:t>
      </w:r>
      <w:r w:rsidR="00C6064D" w:rsidRPr="0054178A">
        <w:rPr>
          <w:rFonts w:ascii="Times New Roman" w:hAnsi="Times New Roman" w:cs="Times New Roman"/>
          <w:sz w:val="24"/>
          <w:szCs w:val="24"/>
        </w:rPr>
        <w:t xml:space="preserve">однородной массы </w:t>
      </w:r>
      <w:r w:rsidRPr="0054178A">
        <w:rPr>
          <w:rFonts w:ascii="Times New Roman" w:hAnsi="Times New Roman" w:cs="Times New Roman"/>
          <w:sz w:val="24"/>
          <w:szCs w:val="24"/>
        </w:rPr>
        <w:t xml:space="preserve">нанесенной в виде </w:t>
      </w:r>
      <w:r w:rsidR="00C6064D">
        <w:rPr>
          <w:rFonts w:ascii="Times New Roman" w:hAnsi="Times New Roman" w:cs="Times New Roman"/>
          <w:sz w:val="24"/>
          <w:szCs w:val="24"/>
        </w:rPr>
        <w:t>круга</w:t>
      </w:r>
      <w:r w:rsidR="00A571C1">
        <w:rPr>
          <w:rFonts w:ascii="Times New Roman" w:hAnsi="Times New Roman" w:cs="Times New Roman"/>
          <w:sz w:val="24"/>
          <w:szCs w:val="24"/>
        </w:rPr>
        <w:t>/</w:t>
      </w:r>
      <w:proofErr w:type="gramStart"/>
      <w:r w:rsidR="00A571C1">
        <w:rPr>
          <w:rFonts w:ascii="Times New Roman" w:hAnsi="Times New Roman" w:cs="Times New Roman"/>
          <w:sz w:val="24"/>
          <w:szCs w:val="24"/>
        </w:rPr>
        <w:t>октаэдра</w:t>
      </w:r>
      <w:proofErr w:type="gramEnd"/>
      <w:r w:rsidR="00C6064D">
        <w:rPr>
          <w:rFonts w:ascii="Times New Roman" w:hAnsi="Times New Roman" w:cs="Times New Roman"/>
          <w:sz w:val="24"/>
          <w:szCs w:val="24"/>
        </w:rPr>
        <w:t xml:space="preserve"> разделенного на четыре части</w:t>
      </w:r>
      <w:r w:rsidRPr="0054178A">
        <w:rPr>
          <w:rFonts w:ascii="Times New Roman" w:hAnsi="Times New Roman" w:cs="Times New Roman"/>
          <w:sz w:val="24"/>
          <w:szCs w:val="24"/>
        </w:rPr>
        <w:t xml:space="preserve"> диаметром </w:t>
      </w:r>
      <w:r w:rsidR="00C6064D">
        <w:rPr>
          <w:rFonts w:ascii="Times New Roman" w:hAnsi="Times New Roman" w:cs="Times New Roman"/>
          <w:sz w:val="24"/>
          <w:szCs w:val="24"/>
        </w:rPr>
        <w:t>7-8</w:t>
      </w:r>
      <w:r w:rsidRPr="0054178A">
        <w:rPr>
          <w:rFonts w:ascii="Times New Roman" w:hAnsi="Times New Roman" w:cs="Times New Roman"/>
          <w:sz w:val="24"/>
          <w:szCs w:val="24"/>
        </w:rPr>
        <w:t xml:space="preserve"> мм. При воздействии магнитом с индукцией поля свыше 100 </w:t>
      </w:r>
      <w:proofErr w:type="spellStart"/>
      <w:r w:rsidRPr="0054178A">
        <w:rPr>
          <w:rFonts w:ascii="Times New Roman" w:hAnsi="Times New Roman" w:cs="Times New Roman"/>
          <w:sz w:val="24"/>
          <w:szCs w:val="24"/>
        </w:rPr>
        <w:t>мТл</w:t>
      </w:r>
      <w:proofErr w:type="spellEnd"/>
      <w:r w:rsidRPr="0054178A">
        <w:rPr>
          <w:rFonts w:ascii="Times New Roman" w:hAnsi="Times New Roman" w:cs="Times New Roman"/>
          <w:sz w:val="24"/>
          <w:szCs w:val="24"/>
        </w:rPr>
        <w:t xml:space="preserve"> на расстоянии менее 50 мм вещество должно распространяться по всему объему капсулы в виде распыленного порошка. </w:t>
      </w:r>
      <w:r w:rsidR="001B30C2" w:rsidRPr="0054178A">
        <w:rPr>
          <w:rFonts w:ascii="Times New Roman" w:hAnsi="Times New Roman" w:cs="Times New Roman"/>
          <w:sz w:val="24"/>
          <w:szCs w:val="24"/>
        </w:rPr>
        <w:t xml:space="preserve">Допускается погрешность в основных размерах  ± </w:t>
      </w:r>
      <w:r w:rsidR="002F1261">
        <w:rPr>
          <w:rFonts w:ascii="Times New Roman" w:hAnsi="Times New Roman" w:cs="Times New Roman"/>
          <w:sz w:val="24"/>
          <w:szCs w:val="24"/>
        </w:rPr>
        <w:t>3</w:t>
      </w:r>
      <w:r w:rsidR="001B30C2" w:rsidRPr="0054178A">
        <w:rPr>
          <w:rFonts w:ascii="Times New Roman" w:hAnsi="Times New Roman" w:cs="Times New Roman"/>
          <w:sz w:val="24"/>
          <w:szCs w:val="24"/>
        </w:rPr>
        <w:t xml:space="preserve"> мм. </w:t>
      </w:r>
    </w:p>
    <w:p w:rsidR="001B30C2" w:rsidRDefault="00FC2380" w:rsidP="000F7DF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78A">
        <w:rPr>
          <w:rFonts w:ascii="Times New Roman" w:hAnsi="Times New Roman" w:cs="Times New Roman"/>
          <w:sz w:val="24"/>
          <w:szCs w:val="24"/>
        </w:rPr>
        <w:t>Конструкция пломбировочных наклеек с индикацией магнитного воздействия должна препятствовать снятию их с объекта пломбирования без разрушения целостности конструкции</w:t>
      </w:r>
      <w:r w:rsidR="009838F3">
        <w:rPr>
          <w:rFonts w:ascii="Times New Roman" w:hAnsi="Times New Roman" w:cs="Times New Roman"/>
          <w:sz w:val="24"/>
          <w:szCs w:val="24"/>
        </w:rPr>
        <w:t xml:space="preserve"> (</w:t>
      </w:r>
      <w:r w:rsidR="007621A9">
        <w:rPr>
          <w:rFonts w:ascii="Times New Roman" w:hAnsi="Times New Roman" w:cs="Times New Roman"/>
          <w:sz w:val="24"/>
          <w:szCs w:val="24"/>
        </w:rPr>
        <w:t xml:space="preserve">предпочтительно </w:t>
      </w:r>
      <w:r w:rsidR="009838F3">
        <w:rPr>
          <w:rFonts w:ascii="Times New Roman" w:hAnsi="Times New Roman" w:cs="Times New Roman"/>
          <w:sz w:val="24"/>
          <w:szCs w:val="24"/>
        </w:rPr>
        <w:t>иметь перфорацию по краям)</w:t>
      </w:r>
      <w:r w:rsidRPr="0054178A">
        <w:rPr>
          <w:rFonts w:ascii="Times New Roman" w:hAnsi="Times New Roman" w:cs="Times New Roman"/>
          <w:sz w:val="24"/>
          <w:szCs w:val="24"/>
        </w:rPr>
        <w:t xml:space="preserve">. При попытке вскрытия индикаторной пломбы  должна проявляется надпись “OPEN VOID” или “ВСКРЫТО”, клеевой слой должен полностью оставаться  на опломбированной поверхности, его адгезия к пленочному носителю должна быть ниже адгезии к  рабочей поверхности, на которую устанавливается пломбировочная наклейка. При повторном наклеивании эта надпись не должна исчезать. </w:t>
      </w:r>
    </w:p>
    <w:p w:rsidR="001B30C2" w:rsidRDefault="00FC2380" w:rsidP="000F7DF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78A">
        <w:rPr>
          <w:rFonts w:ascii="Times New Roman" w:hAnsi="Times New Roman" w:cs="Times New Roman"/>
          <w:sz w:val="24"/>
          <w:szCs w:val="24"/>
        </w:rPr>
        <w:t xml:space="preserve">Пломбирование должно производиться простым снятием индикаторной наклейки с бумажной основы и последующим наложением на пломбируемую поверхность. Конструкция пломбировочной наклейки должна исключать возможность снятия без видимых следов путем термического воздействия (предпочтительно наличие в конструкции пломбы специального индикатора термического воздействия или изготовление пломбы из материала, свойства которого обеспечивают необратимое изменение внешнего вида пломбировочной наклейки (формы и/или цвета и/или размера)). </w:t>
      </w:r>
    </w:p>
    <w:p w:rsidR="001B30C2" w:rsidRDefault="00FC2380" w:rsidP="000F7DF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78A">
        <w:rPr>
          <w:rFonts w:ascii="Times New Roman" w:hAnsi="Times New Roman" w:cs="Times New Roman"/>
          <w:sz w:val="24"/>
          <w:szCs w:val="24"/>
        </w:rPr>
        <w:t>Метод нанесения информации должен исключать возможность стирания и повторного воспроизведения маркировки. Маркировка должна быть четкой, разборчивой и распознаваемой при осмотре, контроле и экспертизе. Идентификационный номер должен считываться с расстояния не менее 0,5м в условиях естественной и искусст</w:t>
      </w:r>
      <w:r w:rsidR="00A571C1">
        <w:rPr>
          <w:rFonts w:ascii="Times New Roman" w:hAnsi="Times New Roman" w:cs="Times New Roman"/>
          <w:sz w:val="24"/>
          <w:szCs w:val="24"/>
        </w:rPr>
        <w:t>венной освещенности не менее 50</w:t>
      </w:r>
      <w:r w:rsidRPr="0054178A">
        <w:rPr>
          <w:rFonts w:ascii="Times New Roman" w:hAnsi="Times New Roman" w:cs="Times New Roman"/>
          <w:sz w:val="24"/>
          <w:szCs w:val="24"/>
        </w:rPr>
        <w:t xml:space="preserve">лк. Пломбировочная наклейка должна иметь нанесенную информацию в виде идентификационного номера, а так же логотипа и (или) наименование сетевой организации, сквозную неповторяющуюся нумерацию. </w:t>
      </w:r>
    </w:p>
    <w:p w:rsidR="00FC2380" w:rsidRPr="0054178A" w:rsidRDefault="00FC2380" w:rsidP="000F7DF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78A">
        <w:rPr>
          <w:rFonts w:ascii="Times New Roman" w:hAnsi="Times New Roman" w:cs="Times New Roman"/>
          <w:sz w:val="24"/>
          <w:szCs w:val="24"/>
        </w:rPr>
        <w:t xml:space="preserve">Пломбировочные наклейки с индикацией магнитного воздействия должны быть стойкими к изменению температуры окружающей среды (рабочая температура от – 40 до + </w:t>
      </w:r>
      <w:r w:rsidRPr="0054178A">
        <w:rPr>
          <w:rFonts w:ascii="Times New Roman" w:hAnsi="Times New Roman" w:cs="Times New Roman"/>
          <w:sz w:val="24"/>
          <w:szCs w:val="24"/>
        </w:rPr>
        <w:lastRenderedPageBreak/>
        <w:t>80 градусов по Цельсию), должны иметь стойкость к агрессивным средам – химически стойкие, время сцепления с пломбируемой поверхность не должно превышать более 5-ти мин. Клеевой слой должен обеспечивать, адгезию при температуре установки от 0 градусов по Цельсию и выше.</w:t>
      </w:r>
    </w:p>
    <w:p w:rsidR="00FC2380" w:rsidRPr="00FC2380" w:rsidRDefault="00FC2380" w:rsidP="000F7DF5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2380">
        <w:rPr>
          <w:rFonts w:ascii="Times New Roman" w:hAnsi="Times New Roman" w:cs="Times New Roman"/>
          <w:b/>
          <w:bCs/>
          <w:sz w:val="24"/>
          <w:szCs w:val="24"/>
        </w:rPr>
        <w:t>Гарантийные обязательства.</w:t>
      </w:r>
    </w:p>
    <w:p w:rsidR="00FC2380" w:rsidRPr="00FC2380" w:rsidRDefault="00FC2380" w:rsidP="000F7DF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380">
        <w:rPr>
          <w:rFonts w:ascii="Times New Roman" w:hAnsi="Times New Roman" w:cs="Times New Roman"/>
          <w:sz w:val="24"/>
          <w:szCs w:val="24"/>
        </w:rPr>
        <w:t>Гарантийный срок эксплуатации  на все пломбировочные материалы – не менее 12 месяцев.</w:t>
      </w:r>
    </w:p>
    <w:p w:rsidR="00FC2380" w:rsidRPr="00FC2380" w:rsidRDefault="00FC2380" w:rsidP="000F7DF5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2380">
        <w:rPr>
          <w:rFonts w:ascii="Times New Roman" w:hAnsi="Times New Roman" w:cs="Times New Roman"/>
          <w:b/>
          <w:bCs/>
          <w:sz w:val="24"/>
          <w:szCs w:val="24"/>
        </w:rPr>
        <w:t>Сроки и очередность поставки продукции.</w:t>
      </w:r>
    </w:p>
    <w:p w:rsidR="00FC2380" w:rsidRPr="00FC2380" w:rsidRDefault="00FC2380" w:rsidP="000F7DF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380">
        <w:rPr>
          <w:rFonts w:ascii="Times New Roman" w:hAnsi="Times New Roman" w:cs="Times New Roman"/>
          <w:sz w:val="24"/>
          <w:szCs w:val="24"/>
        </w:rPr>
        <w:t>Поставка проду</w:t>
      </w:r>
      <w:r w:rsidR="004E2593">
        <w:rPr>
          <w:rFonts w:ascii="Times New Roman" w:hAnsi="Times New Roman" w:cs="Times New Roman"/>
          <w:sz w:val="24"/>
          <w:szCs w:val="24"/>
        </w:rPr>
        <w:t xml:space="preserve">кции в филиал ПАО «МРСК </w:t>
      </w:r>
      <w:proofErr w:type="gramStart"/>
      <w:r w:rsidR="004E2593">
        <w:rPr>
          <w:rFonts w:ascii="Times New Roman" w:hAnsi="Times New Roman" w:cs="Times New Roman"/>
          <w:sz w:val="24"/>
          <w:szCs w:val="24"/>
        </w:rPr>
        <w:t>Центра»</w:t>
      </w:r>
      <w:r w:rsidRPr="00FC2380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FC2380">
        <w:rPr>
          <w:rFonts w:ascii="Times New Roman" w:hAnsi="Times New Roman" w:cs="Times New Roman"/>
          <w:sz w:val="24"/>
          <w:szCs w:val="24"/>
        </w:rPr>
        <w:t>«Орелэнерго» должна осуществляться на основании договора, заключаемого с победителем конкурса.</w:t>
      </w:r>
    </w:p>
    <w:p w:rsidR="00FC2380" w:rsidRPr="00FC2380" w:rsidRDefault="00FC2380" w:rsidP="000F7DF5">
      <w:pPr>
        <w:tabs>
          <w:tab w:val="left" w:pos="1134"/>
        </w:tabs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380">
        <w:rPr>
          <w:rFonts w:ascii="Times New Roman" w:hAnsi="Times New Roman" w:cs="Times New Roman"/>
          <w:sz w:val="24"/>
          <w:szCs w:val="24"/>
        </w:rPr>
        <w:t>Поставка продукции, входящего в предмет Договора, должна быть выполнена согласно графика, утвержденного Заказчиком. Изменение сроков поставки оборудования возможно по решению заказчика за месяц до даты, на которую переносится ближайшая поставка и оформляется соглашением между заказчиком и исполнителем.</w:t>
      </w:r>
    </w:p>
    <w:p w:rsidR="00FC2380" w:rsidRPr="00FC2380" w:rsidRDefault="00FC2380" w:rsidP="000F7DF5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2380">
        <w:rPr>
          <w:rFonts w:ascii="Times New Roman" w:hAnsi="Times New Roman" w:cs="Times New Roman"/>
          <w:b/>
          <w:bCs/>
          <w:sz w:val="24"/>
          <w:szCs w:val="24"/>
        </w:rPr>
        <w:t>Требования к Поставщику.</w:t>
      </w:r>
    </w:p>
    <w:p w:rsidR="00FC2380" w:rsidRPr="00FC2380" w:rsidRDefault="00FC2380" w:rsidP="000F7DF5">
      <w:pPr>
        <w:pStyle w:val="a3"/>
        <w:tabs>
          <w:tab w:val="left" w:pos="709"/>
          <w:tab w:val="left" w:pos="1560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380">
        <w:rPr>
          <w:rFonts w:ascii="Times New Roman" w:hAnsi="Times New Roman" w:cs="Times New Roman"/>
          <w:sz w:val="24"/>
          <w:szCs w:val="24"/>
        </w:rPr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документации);</w:t>
      </w:r>
    </w:p>
    <w:p w:rsidR="00FC2380" w:rsidRPr="00FC2380" w:rsidRDefault="00FC2380" w:rsidP="000F7DF5">
      <w:pPr>
        <w:pStyle w:val="a3"/>
        <w:tabs>
          <w:tab w:val="left" w:pos="709"/>
          <w:tab w:val="left" w:pos="1560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380">
        <w:rPr>
          <w:rFonts w:ascii="Times New Roman" w:hAnsi="Times New Roman" w:cs="Times New Roman"/>
          <w:sz w:val="24"/>
          <w:szCs w:val="24"/>
        </w:rPr>
        <w:t xml:space="preserve">Поставщик обязан указать в заявке тип поставляемой продукции, а также в момент подачи заявки на участие в конкурсе обязан, способом подтверждающим факт получения, направить в адрес филиала ПАО «МРСК </w:t>
      </w:r>
      <w:proofErr w:type="gramStart"/>
      <w:r w:rsidRPr="00FC2380">
        <w:rPr>
          <w:rFonts w:ascii="Times New Roman" w:hAnsi="Times New Roman" w:cs="Times New Roman"/>
          <w:sz w:val="24"/>
          <w:szCs w:val="24"/>
        </w:rPr>
        <w:t>Центра»-</w:t>
      </w:r>
      <w:proofErr w:type="gramEnd"/>
      <w:r w:rsidRPr="00FC2380">
        <w:rPr>
          <w:rFonts w:ascii="Times New Roman" w:hAnsi="Times New Roman" w:cs="Times New Roman"/>
          <w:sz w:val="24"/>
          <w:szCs w:val="24"/>
        </w:rPr>
        <w:t>«Орелэнерго» образцы поставляемой продукции для их тестирования на соответствие требованиям настоящего технического задания.</w:t>
      </w:r>
    </w:p>
    <w:p w:rsidR="00FC2380" w:rsidRPr="00FC2380" w:rsidRDefault="00FC2380" w:rsidP="000F7DF5">
      <w:pPr>
        <w:pStyle w:val="a3"/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2380">
        <w:rPr>
          <w:rFonts w:ascii="Times New Roman" w:hAnsi="Times New Roman" w:cs="Times New Roman"/>
          <w:sz w:val="24"/>
          <w:szCs w:val="24"/>
        </w:rPr>
        <w:t>В случае альтернативного предложения по поставляемому оборудованию, Поставщик согласовывает с заказчиком возможность замены продукции на аналогичное без изменения стоимости поставляемой продукции и ухудшения его характеристик.</w:t>
      </w:r>
    </w:p>
    <w:p w:rsidR="00FC2380" w:rsidRPr="00FC2380" w:rsidRDefault="00FC2380" w:rsidP="000F7DF5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709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2380">
        <w:rPr>
          <w:rFonts w:ascii="Times New Roman" w:hAnsi="Times New Roman" w:cs="Times New Roman"/>
          <w:b/>
          <w:bCs/>
          <w:sz w:val="24"/>
          <w:szCs w:val="24"/>
        </w:rPr>
        <w:t>Правила приемки продукции.</w:t>
      </w:r>
    </w:p>
    <w:p w:rsidR="00FC2380" w:rsidRPr="00FC2380" w:rsidRDefault="00FC2380" w:rsidP="000F7DF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FC2380">
        <w:rPr>
          <w:szCs w:val="24"/>
        </w:rPr>
        <w:t>Вся поставляемая продукция проходит входной контроль, осуществляемый представит</w:t>
      </w:r>
      <w:r w:rsidR="004E2593">
        <w:rPr>
          <w:szCs w:val="24"/>
        </w:rPr>
        <w:t xml:space="preserve">елями филиала ПАО «МРСК </w:t>
      </w:r>
      <w:proofErr w:type="gramStart"/>
      <w:r w:rsidR="004E2593">
        <w:rPr>
          <w:szCs w:val="24"/>
        </w:rPr>
        <w:t>Центра»</w:t>
      </w:r>
      <w:r w:rsidRPr="00FC2380">
        <w:rPr>
          <w:szCs w:val="24"/>
        </w:rPr>
        <w:t>-</w:t>
      </w:r>
      <w:proofErr w:type="gramEnd"/>
      <w:r w:rsidRPr="00FC2380">
        <w:rPr>
          <w:szCs w:val="24"/>
        </w:rPr>
        <w:t>«Орелэнерго» и ответственными представителями Поставщика при получении продукции на склад.</w:t>
      </w:r>
    </w:p>
    <w:p w:rsidR="00644D63" w:rsidRDefault="00FC2380" w:rsidP="000F7DF5">
      <w:pPr>
        <w:tabs>
          <w:tab w:val="left" w:pos="1134"/>
        </w:tabs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380">
        <w:rPr>
          <w:rFonts w:ascii="Times New Roman" w:hAnsi="Times New Roman" w:cs="Times New Roman"/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C2380" w:rsidRPr="00FC2380" w:rsidRDefault="00FC2380" w:rsidP="000F7DF5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2380">
        <w:rPr>
          <w:rFonts w:ascii="Times New Roman" w:hAnsi="Times New Roman" w:cs="Times New Roman"/>
          <w:b/>
          <w:bCs/>
          <w:sz w:val="24"/>
          <w:szCs w:val="24"/>
        </w:rPr>
        <w:t>Приложения.</w:t>
      </w:r>
    </w:p>
    <w:p w:rsidR="00FC2380" w:rsidRPr="0080537C" w:rsidRDefault="00FC2380" w:rsidP="000F7DF5">
      <w:pPr>
        <w:numPr>
          <w:ilvl w:val="0"/>
          <w:numId w:val="2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C2380">
        <w:rPr>
          <w:rFonts w:ascii="Times New Roman" w:hAnsi="Times New Roman" w:cs="Times New Roman"/>
          <w:sz w:val="24"/>
          <w:szCs w:val="24"/>
        </w:rPr>
        <w:t>Логотип на фоне (цветовые решения), фирменный шрифт.</w:t>
      </w:r>
    </w:p>
    <w:p w:rsidR="0080537C" w:rsidRPr="00D33072" w:rsidRDefault="0080537C" w:rsidP="008053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0537C" w:rsidRPr="00D33072" w:rsidRDefault="0080537C" w:rsidP="0080537C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9"/>
        <w:gridCol w:w="4836"/>
      </w:tblGrid>
      <w:tr w:rsidR="0080537C" w:rsidTr="0080537C">
        <w:tc>
          <w:tcPr>
            <w:tcW w:w="5269" w:type="dxa"/>
            <w:hideMark/>
          </w:tcPr>
          <w:p w:rsidR="0080537C" w:rsidRPr="0080537C" w:rsidRDefault="0080537C">
            <w:pPr>
              <w:jc w:val="both"/>
              <w:rPr>
                <w:sz w:val="26"/>
                <w:szCs w:val="26"/>
              </w:rPr>
            </w:pPr>
            <w:r w:rsidRPr="0080537C">
              <w:rPr>
                <w:sz w:val="24"/>
                <w:szCs w:val="24"/>
              </w:rPr>
              <w:t xml:space="preserve">Начальник отдела </w:t>
            </w:r>
            <w:proofErr w:type="spellStart"/>
            <w:r w:rsidRPr="0080537C">
              <w:rPr>
                <w:sz w:val="24"/>
                <w:szCs w:val="24"/>
              </w:rPr>
              <w:t>ЭиРСУ</w:t>
            </w:r>
            <w:proofErr w:type="spellEnd"/>
            <w:r w:rsidRPr="0080537C">
              <w:rPr>
                <w:sz w:val="24"/>
                <w:szCs w:val="24"/>
              </w:rPr>
              <w:t xml:space="preserve"> УУЭЭ</w:t>
            </w:r>
          </w:p>
        </w:tc>
        <w:tc>
          <w:tcPr>
            <w:tcW w:w="5221" w:type="dxa"/>
            <w:hideMark/>
          </w:tcPr>
          <w:p w:rsidR="0080537C" w:rsidRDefault="0080537C">
            <w:pPr>
              <w:jc w:val="right"/>
              <w:rPr>
                <w:sz w:val="26"/>
                <w:szCs w:val="26"/>
              </w:rPr>
            </w:pPr>
            <w:r w:rsidRPr="0080537C">
              <w:rPr>
                <w:sz w:val="26"/>
                <w:szCs w:val="26"/>
              </w:rPr>
              <w:t>Псарев Е.А.</w:t>
            </w:r>
          </w:p>
        </w:tc>
      </w:tr>
    </w:tbl>
    <w:p w:rsidR="0080537C" w:rsidRDefault="0080537C" w:rsidP="008053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F1261" w:rsidRPr="00FC2380" w:rsidRDefault="002F1261" w:rsidP="002F1261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</w:p>
    <w:p w:rsidR="00FC2380" w:rsidRPr="00FC2380" w:rsidRDefault="00FC2380" w:rsidP="00FC2380">
      <w:pPr>
        <w:pStyle w:val="a3"/>
        <w:tabs>
          <w:tab w:val="left" w:pos="993"/>
        </w:tabs>
        <w:ind w:left="0" w:firstLine="709"/>
        <w:jc w:val="both"/>
        <w:rPr>
          <w:rFonts w:ascii="Times New Roman" w:eastAsia="Andale Sans UI" w:hAnsi="Times New Roman" w:cs="Times New Roman"/>
          <w:color w:val="000000"/>
          <w:sz w:val="24"/>
          <w:szCs w:val="24"/>
        </w:rPr>
      </w:pPr>
    </w:p>
    <w:p w:rsidR="00FC2380" w:rsidRPr="00FC2380" w:rsidRDefault="00FC2380" w:rsidP="00FC2380">
      <w:pPr>
        <w:rPr>
          <w:rFonts w:ascii="Times New Roman" w:hAnsi="Times New Roman" w:cs="Times New Roman"/>
          <w:b/>
          <w:noProof/>
          <w:sz w:val="24"/>
          <w:szCs w:val="24"/>
        </w:rPr>
      </w:pPr>
    </w:p>
    <w:p w:rsidR="002F1261" w:rsidRDefault="002F1261">
      <w:pPr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br w:type="page"/>
      </w:r>
    </w:p>
    <w:p w:rsidR="00D64530" w:rsidRDefault="00D64530">
      <w:pPr>
        <w:rPr>
          <w:rFonts w:ascii="Times New Roman" w:hAnsi="Times New Roman" w:cs="Times New Roman"/>
          <w:b/>
        </w:rPr>
      </w:pPr>
    </w:p>
    <w:p w:rsidR="00CF3E60" w:rsidRPr="00F32A14" w:rsidRDefault="00CF3E60" w:rsidP="00D64530">
      <w:pPr>
        <w:jc w:val="right"/>
        <w:rPr>
          <w:rFonts w:ascii="Times New Roman" w:hAnsi="Times New Roman" w:cs="Times New Roman"/>
          <w:b/>
        </w:rPr>
      </w:pPr>
      <w:r w:rsidRPr="00F32A14">
        <w:rPr>
          <w:rFonts w:ascii="Times New Roman" w:hAnsi="Times New Roman" w:cs="Times New Roman"/>
          <w:b/>
        </w:rPr>
        <w:t>Приложение №</w:t>
      </w:r>
      <w:r w:rsidR="000F7DF5">
        <w:rPr>
          <w:rFonts w:ascii="Times New Roman" w:hAnsi="Times New Roman" w:cs="Times New Roman"/>
          <w:b/>
        </w:rPr>
        <w:t>1</w:t>
      </w:r>
    </w:p>
    <w:p w:rsidR="00CF3E60" w:rsidRDefault="00CF3E60" w:rsidP="00892BBC">
      <w:pPr>
        <w:jc w:val="both"/>
      </w:pPr>
      <w:r w:rsidRPr="00F32A14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19998A67" wp14:editId="325F63B1">
            <wp:extent cx="5741035" cy="789051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1035" cy="789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3E60" w:rsidRDefault="00CF3E60" w:rsidP="00892BBC">
      <w:pPr>
        <w:jc w:val="both"/>
      </w:pPr>
    </w:p>
    <w:p w:rsidR="00CF3E60" w:rsidRDefault="00CF3E60" w:rsidP="00892BBC">
      <w:pPr>
        <w:jc w:val="both"/>
      </w:pPr>
    </w:p>
    <w:p w:rsidR="00CF3E60" w:rsidRDefault="00CF3E60" w:rsidP="00892BBC">
      <w:pPr>
        <w:jc w:val="both"/>
      </w:pPr>
      <w:r w:rsidRPr="00F32A14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lastRenderedPageBreak/>
        <w:drawing>
          <wp:inline distT="0" distB="0" distL="0" distR="0" wp14:anchorId="108041B7" wp14:editId="2365B6BD">
            <wp:extent cx="5920105" cy="8135620"/>
            <wp:effectExtent l="0" t="0" r="444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0105" cy="8135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3E60" w:rsidRDefault="00CF3E60" w:rsidP="00892BBC">
      <w:pPr>
        <w:jc w:val="both"/>
      </w:pPr>
    </w:p>
    <w:p w:rsidR="00CF3E60" w:rsidRDefault="00CF3E60" w:rsidP="00892BBC">
      <w:pPr>
        <w:jc w:val="both"/>
      </w:pPr>
      <w:r w:rsidRPr="00F32A14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lastRenderedPageBreak/>
        <w:drawing>
          <wp:inline distT="0" distB="0" distL="0" distR="0" wp14:anchorId="10203F6A" wp14:editId="402D7550">
            <wp:extent cx="5819775" cy="790575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790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3E60" w:rsidRDefault="00CF3E60" w:rsidP="00892BBC">
      <w:pPr>
        <w:jc w:val="both"/>
      </w:pPr>
    </w:p>
    <w:p w:rsidR="00112571" w:rsidRDefault="00EF618A" w:rsidP="00892BBC">
      <w:pPr>
        <w:jc w:val="both"/>
      </w:pPr>
    </w:p>
    <w:sectPr w:rsidR="00112571" w:rsidSect="00EA742F">
      <w:pgSz w:w="11906" w:h="16838"/>
      <w:pgMar w:top="709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80599"/>
    <w:multiLevelType w:val="multilevel"/>
    <w:tmpl w:val="2B4440D2"/>
    <w:lvl w:ilvl="0">
      <w:start w:val="4"/>
      <w:numFmt w:val="decimal"/>
      <w:lvlText w:val="%1."/>
      <w:lvlJc w:val="left"/>
      <w:pPr>
        <w:ind w:left="1068" w:hanging="36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67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3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9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88" w:hanging="1800"/>
      </w:pPr>
      <w:rPr>
        <w:rFonts w:hint="default"/>
      </w:rPr>
    </w:lvl>
  </w:abstractNum>
  <w:abstractNum w:abstractNumId="1" w15:restartNumberingAfterBreak="0">
    <w:nsid w:val="1F070AC2"/>
    <w:multiLevelType w:val="multilevel"/>
    <w:tmpl w:val="7D106F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3.7.%2."/>
      <w:lvlJc w:val="left"/>
      <w:pPr>
        <w:ind w:left="792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FE3615A"/>
    <w:multiLevelType w:val="multilevel"/>
    <w:tmpl w:val="8AFC505E"/>
    <w:lvl w:ilvl="0">
      <w:start w:val="1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4295F24"/>
    <w:multiLevelType w:val="hybridMultilevel"/>
    <w:tmpl w:val="F21CD3D6"/>
    <w:lvl w:ilvl="0" w:tplc="E4C264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0862DA2"/>
    <w:multiLevelType w:val="multilevel"/>
    <w:tmpl w:val="C7685C8A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79047E3"/>
    <w:multiLevelType w:val="hybridMultilevel"/>
    <w:tmpl w:val="4260BB8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6F975390"/>
    <w:multiLevelType w:val="hybridMultilevel"/>
    <w:tmpl w:val="EBF81E00"/>
    <w:lvl w:ilvl="0" w:tplc="00C62E8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E60"/>
    <w:rsid w:val="00001D14"/>
    <w:rsid w:val="00012805"/>
    <w:rsid w:val="0001503A"/>
    <w:rsid w:val="00075A56"/>
    <w:rsid w:val="00085DAA"/>
    <w:rsid w:val="000B0196"/>
    <w:rsid w:val="000F7DF5"/>
    <w:rsid w:val="001B30C2"/>
    <w:rsid w:val="001B656D"/>
    <w:rsid w:val="001E3317"/>
    <w:rsid w:val="001F39AE"/>
    <w:rsid w:val="00212CC4"/>
    <w:rsid w:val="002C7F12"/>
    <w:rsid w:val="002F1261"/>
    <w:rsid w:val="00317559"/>
    <w:rsid w:val="00323EC4"/>
    <w:rsid w:val="00463B3C"/>
    <w:rsid w:val="0047795C"/>
    <w:rsid w:val="004C67C4"/>
    <w:rsid w:val="004E2593"/>
    <w:rsid w:val="004F747A"/>
    <w:rsid w:val="00503410"/>
    <w:rsid w:val="00506691"/>
    <w:rsid w:val="00515924"/>
    <w:rsid w:val="00521582"/>
    <w:rsid w:val="005379B6"/>
    <w:rsid w:val="0054178A"/>
    <w:rsid w:val="00593950"/>
    <w:rsid w:val="005A079B"/>
    <w:rsid w:val="005B53AE"/>
    <w:rsid w:val="005C3627"/>
    <w:rsid w:val="005E678B"/>
    <w:rsid w:val="00620988"/>
    <w:rsid w:val="00623FB6"/>
    <w:rsid w:val="006341DD"/>
    <w:rsid w:val="00644D63"/>
    <w:rsid w:val="00665ADD"/>
    <w:rsid w:val="007621A9"/>
    <w:rsid w:val="007A2EC1"/>
    <w:rsid w:val="0080537C"/>
    <w:rsid w:val="008643A2"/>
    <w:rsid w:val="00892BBC"/>
    <w:rsid w:val="008C07AC"/>
    <w:rsid w:val="009067B0"/>
    <w:rsid w:val="009263CB"/>
    <w:rsid w:val="00951605"/>
    <w:rsid w:val="009838F3"/>
    <w:rsid w:val="009E09EC"/>
    <w:rsid w:val="00A51FEA"/>
    <w:rsid w:val="00A571C1"/>
    <w:rsid w:val="00AD14F5"/>
    <w:rsid w:val="00BD3E62"/>
    <w:rsid w:val="00C401FA"/>
    <w:rsid w:val="00C6064D"/>
    <w:rsid w:val="00CA4EB1"/>
    <w:rsid w:val="00CD7EC0"/>
    <w:rsid w:val="00CF22A7"/>
    <w:rsid w:val="00CF3E60"/>
    <w:rsid w:val="00D03B28"/>
    <w:rsid w:val="00D33072"/>
    <w:rsid w:val="00D6288D"/>
    <w:rsid w:val="00D64530"/>
    <w:rsid w:val="00DC08D1"/>
    <w:rsid w:val="00DC2850"/>
    <w:rsid w:val="00E34E48"/>
    <w:rsid w:val="00E56ED6"/>
    <w:rsid w:val="00E66E37"/>
    <w:rsid w:val="00EA742F"/>
    <w:rsid w:val="00EB3E7D"/>
    <w:rsid w:val="00EC05DC"/>
    <w:rsid w:val="00EE2462"/>
    <w:rsid w:val="00EF618A"/>
    <w:rsid w:val="00F076B4"/>
    <w:rsid w:val="00F134BC"/>
    <w:rsid w:val="00F767F8"/>
    <w:rsid w:val="00FB7893"/>
    <w:rsid w:val="00FC2380"/>
    <w:rsid w:val="00FF4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F54128-13F3-4902-BD72-5640762A2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D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F3E60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rsid w:val="00CF3E60"/>
  </w:style>
  <w:style w:type="paragraph" w:styleId="a5">
    <w:name w:val="Balloon Text"/>
    <w:basedOn w:val="a"/>
    <w:link w:val="a6"/>
    <w:uiPriority w:val="99"/>
    <w:semiHidden/>
    <w:unhideWhenUsed/>
    <w:rsid w:val="00CF3E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3E6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892B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a"/>
    <w:rsid w:val="00FC238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64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1540</Words>
  <Characters>8782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Грачева Елена Сергеевна</cp:lastModifiedBy>
  <cp:revision>2</cp:revision>
  <cp:lastPrinted>2018-03-13T08:42:00Z</cp:lastPrinted>
  <dcterms:created xsi:type="dcterms:W3CDTF">2019-11-06T07:43:00Z</dcterms:created>
  <dcterms:modified xsi:type="dcterms:W3CDTF">2019-11-06T07:43:00Z</dcterms:modified>
</cp:coreProperties>
</file>