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CA" w:rsidRPr="007330F5" w:rsidRDefault="00F63AD0" w:rsidP="00C739CA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C739C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C739CA"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p w:rsidR="00C739CA" w:rsidRDefault="00C739CA" w:rsidP="00C739CA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Первый заместитель директора-</w:t>
      </w:r>
    </w:p>
    <w:p w:rsidR="00C739CA" w:rsidRDefault="00C739CA" w:rsidP="00C739CA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главный инженер</w:t>
      </w:r>
      <w:r w:rsidR="001E1457">
        <w:rPr>
          <w:rFonts w:ascii="Times New Roman" w:hAnsi="Times New Roman"/>
          <w:sz w:val="24"/>
          <w:szCs w:val="24"/>
        </w:rPr>
        <w:t xml:space="preserve"> филиала</w:t>
      </w:r>
    </w:p>
    <w:p w:rsidR="00C739CA" w:rsidRPr="007330F5" w:rsidRDefault="00C739CA" w:rsidP="00C739CA">
      <w:pPr>
        <w:pStyle w:val="a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877539">
        <w:rPr>
          <w:rFonts w:ascii="Times New Roman" w:hAnsi="Times New Roman"/>
          <w:sz w:val="24"/>
          <w:szCs w:val="24"/>
        </w:rPr>
        <w:t>ПАО «МРСК Центра» -«Орелэнерго»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9CA" w:rsidRPr="007330F5" w:rsidRDefault="00C739CA" w:rsidP="00C739CA">
      <w:pPr>
        <w:pStyle w:val="af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______________</w:t>
      </w:r>
      <w:r w:rsidRPr="007330F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C739CA" w:rsidRPr="00044AD9" w:rsidRDefault="00C739CA" w:rsidP="00C739CA">
      <w:pPr>
        <w:spacing w:line="276" w:lineRule="auto"/>
        <w:ind w:right="-2" w:firstLine="0"/>
        <w:jc w:val="center"/>
        <w:rPr>
          <w:caps/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7330F5">
        <w:rPr>
          <w:sz w:val="24"/>
          <w:szCs w:val="24"/>
        </w:rPr>
        <w:t>“__</w:t>
      </w:r>
      <w:r>
        <w:rPr>
          <w:sz w:val="24"/>
          <w:szCs w:val="24"/>
        </w:rPr>
        <w:t>__” ________________ 2018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C739CA">
      <w:pPr>
        <w:pStyle w:val="af3"/>
        <w:rPr>
          <w:sz w:val="24"/>
          <w:szCs w:val="24"/>
        </w:rPr>
      </w:pPr>
    </w:p>
    <w:p w:rsidR="00D802D5" w:rsidRPr="00F63AD0" w:rsidRDefault="00D802D5" w:rsidP="00F63AD0">
      <w:pPr>
        <w:pStyle w:val="af6"/>
      </w:pP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6379"/>
        <w:gridCol w:w="1985"/>
      </w:tblGrid>
      <w:tr w:rsidR="00EA206C" w:rsidTr="00EA206C">
        <w:tc>
          <w:tcPr>
            <w:tcW w:w="2268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6379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198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Количество, шт</w:t>
            </w:r>
          </w:p>
        </w:tc>
      </w:tr>
      <w:tr w:rsidR="00C739CA" w:rsidTr="00EA206C">
        <w:tc>
          <w:tcPr>
            <w:tcW w:w="2268" w:type="dxa"/>
            <w:vAlign w:val="center"/>
          </w:tcPr>
          <w:p w:rsidR="00C739CA" w:rsidRPr="00C739CA" w:rsidRDefault="00C739CA" w:rsidP="00C739C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Кресло офисное </w:t>
            </w:r>
            <w:r>
              <w:rPr>
                <w:color w:val="000000"/>
                <w:sz w:val="24"/>
                <w:lang w:val="en-US"/>
              </w:rPr>
              <w:t>Chairman</w:t>
            </w:r>
          </w:p>
          <w:p w:rsidR="00C739CA" w:rsidRPr="00EE0F10" w:rsidRDefault="00C739CA" w:rsidP="00C739CA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rPr>
                <w:color w:val="000000"/>
                <w:sz w:val="24"/>
              </w:rPr>
              <w:t>СН-685</w:t>
            </w:r>
          </w:p>
        </w:tc>
        <w:tc>
          <w:tcPr>
            <w:tcW w:w="6379" w:type="dxa"/>
            <w:vAlign w:val="center"/>
          </w:tcPr>
          <w:p w:rsidR="00C739CA" w:rsidRPr="00EE0F10" w:rsidRDefault="00C739C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0C0C19">
              <w:rPr>
                <w:sz w:val="18"/>
                <w:szCs w:val="18"/>
              </w:rPr>
              <w:t xml:space="preserve">Оснащено механизмами, с помощью которых можно регулировать высоту и глубину сидения, а также высоту и угол наклона спинки. Кресло на пластиковой крестовине, с подлокотниками. Механизм качания с фиксацией кресла в рабочем положении,  в основе сидения используется стальная внутренняя конструкция и многослойная фанера, статическая нагрузка – до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0C0C19">
                <w:rPr>
                  <w:sz w:val="18"/>
                  <w:szCs w:val="18"/>
                </w:rPr>
                <w:t>120 кг</w:t>
              </w:r>
            </w:smartTag>
            <w:r>
              <w:rPr>
                <w:sz w:val="18"/>
                <w:szCs w:val="18"/>
              </w:rPr>
              <w:t>, Обивка кресла – эко кожа</w:t>
            </w:r>
            <w:r w:rsidRPr="000C0C19">
              <w:rPr>
                <w:sz w:val="18"/>
                <w:szCs w:val="18"/>
              </w:rPr>
              <w:t>.  Газпатрон 3-й категории стабильности по DIN 4550, ролик - диаметр штока 11мм, поверхность колес – прорезиненная.</w:t>
            </w:r>
            <w:r>
              <w:rPr>
                <w:sz w:val="18"/>
                <w:szCs w:val="18"/>
              </w:rPr>
              <w:t xml:space="preserve"> Цвет –черный.</w:t>
            </w:r>
            <w:r w:rsidR="004A5B08">
              <w:rPr>
                <w:sz w:val="18"/>
                <w:szCs w:val="18"/>
              </w:rPr>
              <w:t xml:space="preserve"> Или аналог.</w:t>
            </w:r>
          </w:p>
        </w:tc>
        <w:tc>
          <w:tcPr>
            <w:tcW w:w="1985" w:type="dxa"/>
          </w:tcPr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P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C739CA" w:rsidTr="00EA206C">
        <w:tc>
          <w:tcPr>
            <w:tcW w:w="2268" w:type="dxa"/>
            <w:vAlign w:val="center"/>
          </w:tcPr>
          <w:p w:rsidR="00C739CA" w:rsidRPr="00C739CA" w:rsidRDefault="00C739CA" w:rsidP="00C739CA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C739CA">
              <w:rPr>
                <w:color w:val="000000"/>
                <w:sz w:val="24"/>
                <w:lang w:val="en-US"/>
              </w:rPr>
              <w:t>Стол письменный</w:t>
            </w:r>
          </w:p>
        </w:tc>
        <w:tc>
          <w:tcPr>
            <w:tcW w:w="6379" w:type="dxa"/>
            <w:vAlign w:val="center"/>
          </w:tcPr>
          <w:p w:rsidR="00C739CA" w:rsidRDefault="00C739CA" w:rsidP="00C739CA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1200*600*750</w:t>
            </w:r>
          </w:p>
          <w:p w:rsidR="00F11CE7" w:rsidRPr="000C0C19" w:rsidRDefault="00F11CE7" w:rsidP="00C739CA">
            <w:pPr>
              <w:ind w:firstLine="0"/>
              <w:jc w:val="center"/>
              <w:rPr>
                <w:sz w:val="18"/>
                <w:szCs w:val="18"/>
              </w:rPr>
            </w:pPr>
            <w:r w:rsidRPr="00503EB8">
              <w:t xml:space="preserve">Материал: ЛДСП, кромка - ПВХ 2мм. Толщина столешницы - 22мм, каркаса стола - </w:t>
            </w:r>
            <w:r>
              <w:t>22мм.</w:t>
            </w:r>
            <w:r w:rsidRPr="00503EB8">
              <w:t xml:space="preserve"> Цвет: ольха.</w:t>
            </w:r>
            <w:r w:rsidRPr="00503EB8">
              <w:br/>
              <w:t>Опоры для регулировки по высоте. При сборки используются эксцентриковые ст</w:t>
            </w:r>
            <w:r>
              <w:t>яжки.</w:t>
            </w:r>
            <w:r w:rsidRPr="00503EB8">
              <w:t xml:space="preserve"> Поставляется в разобранном виде</w:t>
            </w:r>
            <w:r>
              <w:t>.</w:t>
            </w:r>
            <w:r w:rsidR="004A5B08">
              <w:t xml:space="preserve"> </w:t>
            </w:r>
            <w:r w:rsidR="004A5B08">
              <w:rPr>
                <w:sz w:val="18"/>
                <w:szCs w:val="18"/>
              </w:rPr>
              <w:t>Или аналог.</w:t>
            </w:r>
          </w:p>
          <w:p w:rsidR="00C739CA" w:rsidRPr="00EE0F10" w:rsidRDefault="00C739C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</w:tc>
        <w:tc>
          <w:tcPr>
            <w:tcW w:w="1985" w:type="dxa"/>
          </w:tcPr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15</w:t>
            </w:r>
          </w:p>
        </w:tc>
      </w:tr>
      <w:tr w:rsidR="00EA206C" w:rsidRPr="00732291" w:rsidTr="00EA206C">
        <w:tc>
          <w:tcPr>
            <w:tcW w:w="2268" w:type="dxa"/>
            <w:vAlign w:val="center"/>
          </w:tcPr>
          <w:p w:rsidR="00EA206C" w:rsidRPr="00732291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4C7A1B">
              <w:rPr>
                <w:color w:val="000000"/>
                <w:sz w:val="24"/>
              </w:rPr>
              <w:t xml:space="preserve">Кресло </w:t>
            </w:r>
            <w:r w:rsidRPr="00C94167">
              <w:rPr>
                <w:color w:val="000000"/>
                <w:sz w:val="24"/>
              </w:rPr>
              <w:t>PRESTYGE</w:t>
            </w:r>
          </w:p>
        </w:tc>
        <w:tc>
          <w:tcPr>
            <w:tcW w:w="6379" w:type="dxa"/>
            <w:vAlign w:val="center"/>
          </w:tcPr>
          <w:p w:rsidR="00EA206C" w:rsidRPr="000C0C19" w:rsidRDefault="00EA206C" w:rsidP="00865432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770/850*520* 1310</w:t>
            </w:r>
          </w:p>
          <w:p w:rsidR="00EA206C" w:rsidRPr="00D802D5" w:rsidRDefault="00EA206C" w:rsidP="00865432">
            <w:pPr>
              <w:pStyle w:val="ad"/>
              <w:tabs>
                <w:tab w:val="left" w:pos="0"/>
              </w:tabs>
              <w:ind w:left="0" w:firstLine="0"/>
              <w:rPr>
                <w:b/>
                <w:color w:val="000000"/>
                <w:sz w:val="24"/>
              </w:rPr>
            </w:pPr>
            <w:r w:rsidRPr="000C0C19">
              <w:rPr>
                <w:sz w:val="18"/>
                <w:szCs w:val="18"/>
              </w:rPr>
              <w:t xml:space="preserve">Оснащено механизмами, с помощью которых можно регулировать высоту и глубину сидения, а также высоту и угол наклона спинки. Кресло на пластиковой крестовине, с подлокотниками. Механизм качания с фиксацией кресла в рабочем положении,  в основе сидения используется стальная внутренняя конструкция и многослойная фанера, статическая нагрузка – до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0C0C19">
                <w:rPr>
                  <w:sz w:val="18"/>
                  <w:szCs w:val="18"/>
                </w:rPr>
                <w:t>120 кг</w:t>
              </w:r>
            </w:smartTag>
            <w:r w:rsidR="00A758C6">
              <w:rPr>
                <w:sz w:val="18"/>
                <w:szCs w:val="18"/>
              </w:rPr>
              <w:t>, Обивка кресла – ткань</w:t>
            </w:r>
            <w:r w:rsidRPr="000C0C19">
              <w:rPr>
                <w:sz w:val="18"/>
                <w:szCs w:val="18"/>
              </w:rPr>
              <w:t>.  Газпатрон 3-й категории стабильности по DIN 4550, ролик - диаметр штока 11мм, поверхность колес – прорезиненная.</w:t>
            </w:r>
            <w:r>
              <w:rPr>
                <w:sz w:val="18"/>
                <w:szCs w:val="18"/>
              </w:rPr>
              <w:t xml:space="preserve"> Цвет –черный.</w:t>
            </w:r>
            <w:r w:rsidR="004A5B08">
              <w:rPr>
                <w:sz w:val="18"/>
                <w:szCs w:val="18"/>
              </w:rPr>
              <w:t xml:space="preserve"> Или аналог.</w:t>
            </w:r>
          </w:p>
        </w:tc>
        <w:tc>
          <w:tcPr>
            <w:tcW w:w="1985" w:type="dxa"/>
            <w:vAlign w:val="center"/>
          </w:tcPr>
          <w:p w:rsidR="00EA206C" w:rsidRPr="00C94167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C739CA">
              <w:rPr>
                <w:color w:val="000000"/>
                <w:sz w:val="24"/>
                <w:lang w:val="en-US"/>
              </w:rPr>
              <w:t>26</w:t>
            </w:r>
          </w:p>
        </w:tc>
      </w:tr>
      <w:tr w:rsidR="00245526" w:rsidRPr="00732291" w:rsidTr="00EA206C">
        <w:tc>
          <w:tcPr>
            <w:tcW w:w="2268" w:type="dxa"/>
            <w:vAlign w:val="center"/>
          </w:tcPr>
          <w:p w:rsidR="00245526" w:rsidRPr="004C7A1B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 документов</w:t>
            </w:r>
          </w:p>
        </w:tc>
        <w:tc>
          <w:tcPr>
            <w:tcW w:w="6379" w:type="dxa"/>
            <w:vAlign w:val="center"/>
          </w:tcPr>
          <w:p w:rsidR="00E03705" w:rsidRDefault="00E03705" w:rsidP="00E03705">
            <w:r>
              <w:t>Размер</w:t>
            </w:r>
            <w:r w:rsidRPr="00C36CE1">
              <w:t xml:space="preserve">: </w:t>
            </w:r>
            <w:r>
              <w:t>219х80х 45</w:t>
            </w:r>
          </w:p>
          <w:p w:rsidR="00E03705" w:rsidRPr="00C36CE1" w:rsidRDefault="00E03705" w:rsidP="00E03705">
            <w:pPr>
              <w:ind w:firstLine="0"/>
            </w:pPr>
            <w:r w:rsidRPr="00503EB8">
              <w:t>Материал: ЛДСП, кромка ПФХ 2мм. Боковины, полки двери шкафа 16мм.</w:t>
            </w:r>
            <w:r w:rsidRPr="00503EB8">
              <w:br/>
            </w:r>
            <w:r>
              <w:t>Цвет: ольха</w:t>
            </w:r>
            <w:r w:rsidRPr="00662A4B">
              <w:t xml:space="preserve"> </w:t>
            </w:r>
            <w:r w:rsidRPr="00503EB8">
              <w:t>(натуральный оттенок).</w:t>
            </w:r>
          </w:p>
          <w:p w:rsidR="00245526" w:rsidRDefault="00E03705" w:rsidP="00E03705">
            <w:pPr>
              <w:ind w:firstLine="0"/>
              <w:rPr>
                <w:sz w:val="18"/>
                <w:szCs w:val="18"/>
              </w:rPr>
            </w:pPr>
            <w:r w:rsidRPr="00503EB8">
              <w:t xml:space="preserve">Шкаф имеет 5 полок, регулируемых по высоте, 2 низкие деревянные дверцы. </w:t>
            </w:r>
            <w:r w:rsidRPr="00C36CE1">
              <w:t xml:space="preserve"> </w:t>
            </w:r>
            <w:r w:rsidRPr="00503EB8">
              <w:t>При сборки используются эксцентриковые стяжки.</w:t>
            </w:r>
            <w:r w:rsidR="004A5B08">
              <w:t xml:space="preserve"> </w:t>
            </w:r>
            <w:r w:rsidR="004A5B08">
              <w:rPr>
                <w:sz w:val="18"/>
                <w:szCs w:val="18"/>
              </w:rPr>
              <w:t>Или аналог.</w:t>
            </w:r>
          </w:p>
        </w:tc>
        <w:tc>
          <w:tcPr>
            <w:tcW w:w="1985" w:type="dxa"/>
            <w:vAlign w:val="center"/>
          </w:tcPr>
          <w:p w:rsidR="00245526" w:rsidRDefault="00C739C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</w:tr>
      <w:tr w:rsidR="00245526" w:rsidRPr="00732291" w:rsidTr="00EA206C">
        <w:tc>
          <w:tcPr>
            <w:tcW w:w="2268" w:type="dxa"/>
            <w:vAlign w:val="center"/>
          </w:tcPr>
          <w:p w:rsidR="009E2963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Шкаф для</w:t>
            </w:r>
          </w:p>
          <w:p w:rsidR="00245526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одежды</w:t>
            </w:r>
          </w:p>
        </w:tc>
        <w:tc>
          <w:tcPr>
            <w:tcW w:w="6379" w:type="dxa"/>
            <w:vAlign w:val="center"/>
          </w:tcPr>
          <w:p w:rsidR="00E03705" w:rsidRDefault="00E03705" w:rsidP="00E03705">
            <w:r>
              <w:t>Размер</w:t>
            </w:r>
            <w:r w:rsidRPr="00662A4B">
              <w:t xml:space="preserve">: </w:t>
            </w:r>
            <w:r w:rsidRPr="00503EB8">
              <w:t>80x45</w:t>
            </w:r>
            <w:r>
              <w:t>х</w:t>
            </w:r>
            <w:r w:rsidRPr="00503EB8">
              <w:t>219</w:t>
            </w:r>
          </w:p>
          <w:p w:rsidR="00E03705" w:rsidRPr="00662A4B" w:rsidRDefault="00E03705" w:rsidP="00E03705">
            <w:pPr>
              <w:ind w:firstLine="0"/>
            </w:pPr>
            <w:r w:rsidRPr="00503EB8">
              <w:t xml:space="preserve">Материал: ЛДСП, кромка - ПВХ 2мм. Цвет: ольха. </w:t>
            </w:r>
          </w:p>
          <w:p w:rsidR="00245526" w:rsidRDefault="00E03705" w:rsidP="00E03705">
            <w:pPr>
              <w:ind w:firstLine="0"/>
              <w:rPr>
                <w:sz w:val="18"/>
                <w:szCs w:val="18"/>
              </w:rPr>
            </w:pPr>
            <w:r w:rsidRPr="00503EB8">
              <w:t>Толщина боковин, дверей, полок шкафа - 16мм. Шкаф имеет полку для головных уборов, вешалку для одежды.</w:t>
            </w:r>
            <w:r w:rsidR="004A5B08">
              <w:t xml:space="preserve"> </w:t>
            </w:r>
            <w:r w:rsidR="004A5B08">
              <w:rPr>
                <w:sz w:val="18"/>
                <w:szCs w:val="18"/>
              </w:rPr>
              <w:t>Или аналог.</w:t>
            </w:r>
          </w:p>
        </w:tc>
        <w:tc>
          <w:tcPr>
            <w:tcW w:w="1985" w:type="dxa"/>
            <w:vAlign w:val="center"/>
          </w:tcPr>
          <w:p w:rsidR="00245526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 w:rsidR="00C739CA">
              <w:rPr>
                <w:color w:val="000000"/>
                <w:sz w:val="24"/>
              </w:rPr>
              <w:t>0</w:t>
            </w:r>
          </w:p>
        </w:tc>
      </w:tr>
      <w:tr w:rsidR="00EA206C" w:rsidRPr="00732291" w:rsidTr="00EA206C">
        <w:tc>
          <w:tcPr>
            <w:tcW w:w="2268" w:type="dxa"/>
            <w:vAlign w:val="center"/>
          </w:tcPr>
          <w:p w:rsidR="00EA206C" w:rsidRPr="004C7A1B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Стул ИЗО</w:t>
            </w:r>
          </w:p>
        </w:tc>
        <w:tc>
          <w:tcPr>
            <w:tcW w:w="6379" w:type="dxa"/>
            <w:vAlign w:val="center"/>
          </w:tcPr>
          <w:p w:rsidR="00EA206C" w:rsidRDefault="00EA206C" w:rsidP="00865432">
            <w:pPr>
              <w:ind w:firstLine="0"/>
              <w:jc w:val="center"/>
              <w:rPr>
                <w:sz w:val="18"/>
                <w:szCs w:val="18"/>
              </w:rPr>
            </w:pPr>
            <w:r>
              <w:t>Состоит из мягкого сиденья, мягкой спинки и металлокаркаса. Каркас изготовлен из трубы овального сечения 30х15 мм, трубы диаметром 19 мм и имеет порошковое термоотверждаемое полимерное покрытие. Сиденье выполнено из фанеры 9 мм, поролона, обтянуто мебельной тканью. Цвет черный.</w:t>
            </w:r>
            <w:r w:rsidR="004A5B08">
              <w:t xml:space="preserve"> </w:t>
            </w:r>
            <w:r w:rsidR="004A5B08">
              <w:rPr>
                <w:sz w:val="18"/>
                <w:szCs w:val="18"/>
              </w:rPr>
              <w:t>Или аналог.</w:t>
            </w:r>
          </w:p>
        </w:tc>
        <w:tc>
          <w:tcPr>
            <w:tcW w:w="1985" w:type="dxa"/>
            <w:vAlign w:val="center"/>
          </w:tcPr>
          <w:p w:rsidR="00EA206C" w:rsidRDefault="00C739C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</w:t>
            </w:r>
          </w:p>
        </w:tc>
      </w:tr>
      <w:tr w:rsidR="00245526" w:rsidRPr="00732291" w:rsidTr="00EA206C">
        <w:tc>
          <w:tcPr>
            <w:tcW w:w="2268" w:type="dxa"/>
            <w:vAlign w:val="center"/>
          </w:tcPr>
          <w:p w:rsidR="00245526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Кресло руководителя</w:t>
            </w:r>
          </w:p>
          <w:p w:rsidR="00A758C6" w:rsidRDefault="00A758C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СН-279</w:t>
            </w:r>
          </w:p>
        </w:tc>
        <w:tc>
          <w:tcPr>
            <w:tcW w:w="6379" w:type="dxa"/>
            <w:vAlign w:val="center"/>
          </w:tcPr>
          <w:p w:rsidR="00245526" w:rsidRDefault="00A758C6" w:rsidP="00865432">
            <w:pPr>
              <w:ind w:firstLine="0"/>
              <w:jc w:val="center"/>
            </w:pPr>
            <w:r w:rsidRPr="000C0C19">
              <w:rPr>
                <w:sz w:val="18"/>
                <w:szCs w:val="18"/>
              </w:rPr>
              <w:t xml:space="preserve">Оснащено механизмами, с помощью которых можно регулировать высоту и глубину сидения, а также высоту и угол наклона спинки. Кресло на пластиковой крестовине, с подлокотниками. Механизм качания с фиксацией кресла в рабочем положении,  в основе сидения используется стальная внутренняя конструкция и многослойная фанера, статическая нагрузка – до </w:t>
            </w:r>
            <w:smartTag w:uri="urn:schemas-microsoft-com:office:smarttags" w:element="metricconverter">
              <w:smartTagPr>
                <w:attr w:name="ProductID" w:val="120 кг"/>
              </w:smartTagPr>
              <w:r w:rsidRPr="000C0C19">
                <w:rPr>
                  <w:sz w:val="18"/>
                  <w:szCs w:val="18"/>
                </w:rPr>
                <w:t xml:space="preserve">120 </w:t>
              </w:r>
              <w:r w:rsidRPr="000C0C19">
                <w:rPr>
                  <w:sz w:val="18"/>
                  <w:szCs w:val="18"/>
                </w:rPr>
                <w:lastRenderedPageBreak/>
                <w:t>кг</w:t>
              </w:r>
            </w:smartTag>
            <w:r>
              <w:rPr>
                <w:sz w:val="18"/>
                <w:szCs w:val="18"/>
              </w:rPr>
              <w:t>, Обивка кресла – эко кожа</w:t>
            </w:r>
            <w:r w:rsidRPr="000C0C19">
              <w:rPr>
                <w:sz w:val="18"/>
                <w:szCs w:val="18"/>
              </w:rPr>
              <w:t>.  Газпатрон 3-й категории стабильности по DIN 4550, ролик - диаметр штока 11мм, поверхность колес – прорезиненная.</w:t>
            </w:r>
            <w:r>
              <w:rPr>
                <w:sz w:val="18"/>
                <w:szCs w:val="18"/>
              </w:rPr>
              <w:t xml:space="preserve"> Цвет –черный.</w:t>
            </w:r>
            <w:r w:rsidR="004A5B08">
              <w:rPr>
                <w:sz w:val="18"/>
                <w:szCs w:val="18"/>
              </w:rPr>
              <w:t xml:space="preserve"> Или аналог.</w:t>
            </w:r>
          </w:p>
        </w:tc>
        <w:tc>
          <w:tcPr>
            <w:tcW w:w="1985" w:type="dxa"/>
            <w:vAlign w:val="center"/>
          </w:tcPr>
          <w:p w:rsidR="00245526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15</w:t>
            </w:r>
          </w:p>
        </w:tc>
      </w:tr>
      <w:tr w:rsidR="00245526" w:rsidRPr="00732291" w:rsidTr="00EA206C">
        <w:tc>
          <w:tcPr>
            <w:tcW w:w="2268" w:type="dxa"/>
            <w:vAlign w:val="center"/>
          </w:tcPr>
          <w:p w:rsidR="00245526" w:rsidRDefault="0024552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Тумба подкатная</w:t>
            </w:r>
          </w:p>
          <w:p w:rsidR="00801025" w:rsidRDefault="00801025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 ящика</w:t>
            </w:r>
          </w:p>
        </w:tc>
        <w:tc>
          <w:tcPr>
            <w:tcW w:w="6379" w:type="dxa"/>
            <w:vAlign w:val="center"/>
          </w:tcPr>
          <w:p w:rsidR="00245526" w:rsidRDefault="00245526" w:rsidP="0024552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472*417*670</w:t>
            </w:r>
          </w:p>
          <w:p w:rsidR="00E03705" w:rsidRPr="00662A4B" w:rsidRDefault="00E03705" w:rsidP="00E03705">
            <w:pPr>
              <w:ind w:firstLine="0"/>
            </w:pPr>
            <w:r w:rsidRPr="00503EB8">
              <w:t xml:space="preserve">Материал: ЛДСП, кромка ПВХ 2мм. Толщина топа, каркасов и фасадов ящиков - 16мм. </w:t>
            </w:r>
          </w:p>
          <w:p w:rsidR="00E03705" w:rsidRPr="00662A4B" w:rsidRDefault="00E03705" w:rsidP="00E03705">
            <w:pPr>
              <w:ind w:firstLine="0"/>
            </w:pPr>
            <w:r w:rsidRPr="00503EB8">
              <w:t xml:space="preserve">Цвет: ольха. </w:t>
            </w:r>
          </w:p>
          <w:p w:rsidR="00E03705" w:rsidRPr="000C0C19" w:rsidRDefault="00E03705" w:rsidP="00E03705">
            <w:pPr>
              <w:ind w:firstLine="0"/>
              <w:rPr>
                <w:sz w:val="18"/>
                <w:szCs w:val="18"/>
              </w:rPr>
            </w:pPr>
            <w:r>
              <w:t>Имеет 3</w:t>
            </w:r>
            <w:r w:rsidRPr="00503EB8">
              <w:t xml:space="preserve"> ящика, двигающихся на роликовых направляющих, верхний ящик запирается на замок. Устанавливается на регулируемые опоры. Поставляется в собранном виде</w:t>
            </w:r>
            <w:r w:rsidR="004A5B08">
              <w:t xml:space="preserve">. </w:t>
            </w:r>
            <w:r w:rsidR="004A5B08">
              <w:rPr>
                <w:sz w:val="18"/>
                <w:szCs w:val="18"/>
              </w:rPr>
              <w:t>Или аналог.</w:t>
            </w:r>
          </w:p>
          <w:p w:rsidR="00245526" w:rsidRDefault="00245526" w:rsidP="00865432">
            <w:pPr>
              <w:ind w:firstLine="0"/>
              <w:jc w:val="center"/>
            </w:pPr>
          </w:p>
        </w:tc>
        <w:tc>
          <w:tcPr>
            <w:tcW w:w="1985" w:type="dxa"/>
            <w:vAlign w:val="center"/>
          </w:tcPr>
          <w:p w:rsidR="00245526" w:rsidRDefault="00C739CA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408CC" w:rsidRDefault="005408CC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5408CC" w:rsidRPr="00BD7FD7" w:rsidRDefault="005408CC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6A17" w:rsidRDefault="00BC6A17" w:rsidP="00BC6A17">
      <w:pPr>
        <w:pStyle w:val="ad"/>
        <w:numPr>
          <w:ilvl w:val="0"/>
          <w:numId w:val="3"/>
        </w:numPr>
        <w:tabs>
          <w:tab w:val="left" w:pos="1134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поставки.</w:t>
      </w:r>
    </w:p>
    <w:p w:rsidR="00BC6A17" w:rsidRPr="00BC6A17" w:rsidRDefault="00BC6A17" w:rsidP="00BC6A17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BC6A17">
        <w:rPr>
          <w:sz w:val="24"/>
          <w:szCs w:val="24"/>
        </w:rPr>
        <w:t>В течении 10 календарных дней с момента подачи заявки от филиала, но не позднее 31.12.2019г</w:t>
      </w:r>
      <w:r>
        <w:rPr>
          <w:sz w:val="24"/>
          <w:szCs w:val="24"/>
        </w:rPr>
        <w:t>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1"/>
        <w:gridCol w:w="525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1040F8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37557">
              <w:rPr>
                <w:sz w:val="24"/>
                <w:szCs w:val="24"/>
              </w:rPr>
              <w:t>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5408CC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1040F8">
              <w:rPr>
                <w:sz w:val="24"/>
                <w:szCs w:val="24"/>
              </w:rPr>
              <w:t xml:space="preserve">                   А.А. Шхалахов</w:t>
            </w:r>
            <w:bookmarkStart w:id="1" w:name="_GoBack"/>
            <w:bookmarkEnd w:id="1"/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6FC" w:rsidRDefault="00CA06FC">
      <w:r>
        <w:separator/>
      </w:r>
    </w:p>
  </w:endnote>
  <w:endnote w:type="continuationSeparator" w:id="0">
    <w:p w:rsidR="00CA06FC" w:rsidRDefault="00CA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6FC" w:rsidRDefault="00CA06FC">
      <w:r>
        <w:separator/>
      </w:r>
    </w:p>
  </w:footnote>
  <w:footnote w:type="continuationSeparator" w:id="0">
    <w:p w:rsidR="00CA06FC" w:rsidRDefault="00CA0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5B08"/>
    <w:rsid w:val="004A668C"/>
    <w:rsid w:val="004A7975"/>
    <w:rsid w:val="004A7ACD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2DC2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7A55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58C6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8D2"/>
    <w:rsid w:val="00F07DCC"/>
    <w:rsid w:val="00F10010"/>
    <w:rsid w:val="00F11CE7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32A7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E40F79B-BCD0-46C2-B7B4-5B7C5B9D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Название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CBF146-2FF5-4ED2-B7A1-551A6104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Колотыгин Александр Иванович</cp:lastModifiedBy>
  <cp:revision>22</cp:revision>
  <cp:lastPrinted>2010-09-30T13:29:00Z</cp:lastPrinted>
  <dcterms:created xsi:type="dcterms:W3CDTF">2017-07-28T08:56:00Z</dcterms:created>
  <dcterms:modified xsi:type="dcterms:W3CDTF">2018-09-25T06:56:00Z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