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7425E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3C1B10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C1B10">
              <w:rPr>
                <w:b/>
                <w:sz w:val="26"/>
                <w:szCs w:val="26"/>
              </w:rPr>
              <w:t>206</w:t>
            </w:r>
            <w:r w:rsidR="0017425E">
              <w:rPr>
                <w:b/>
                <w:sz w:val="26"/>
                <w:szCs w:val="26"/>
              </w:rPr>
              <w:t>5320</w:t>
            </w:r>
          </w:p>
        </w:tc>
      </w:tr>
    </w:tbl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>
        <w:rPr>
          <w:rFonts w:ascii="Times New Roman" w:hAnsi="Times New Roman"/>
          <w:sz w:val="24"/>
          <w:szCs w:val="24"/>
        </w:rPr>
        <w:t>___________</w:t>
      </w:r>
    </w:p>
    <w:p w:rsidR="001F5706" w:rsidRPr="00044AD9" w:rsidRDefault="00D802D5" w:rsidP="00D802D5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17425E">
        <w:rPr>
          <w:sz w:val="24"/>
          <w:szCs w:val="24"/>
        </w:rPr>
        <w:t>_____” ____________________ 2015</w:t>
      </w:r>
      <w:r w:rsidRPr="007330F5">
        <w:rPr>
          <w:sz w:val="24"/>
          <w:szCs w:val="24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904A2C" w:rsidRPr="00286470" w:rsidRDefault="00904A2C" w:rsidP="00904A2C">
      <w:pPr>
        <w:ind w:firstLine="0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</w:t>
      </w:r>
      <w:r w:rsidR="004F6968"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Pr="00904A2C">
        <w:rPr>
          <w:b/>
          <w:sz w:val="28"/>
          <w:szCs w:val="28"/>
        </w:rPr>
        <w:t>Пылесоса</w:t>
      </w:r>
      <w:r w:rsidR="0017425E" w:rsidRPr="00904A2C">
        <w:rPr>
          <w:b/>
          <w:sz w:val="28"/>
          <w:szCs w:val="28"/>
        </w:rPr>
        <w:t xml:space="preserve"> </w:t>
      </w:r>
      <w:r w:rsidRPr="00904A2C">
        <w:rPr>
          <w:b/>
          <w:sz w:val="28"/>
          <w:szCs w:val="28"/>
        </w:rPr>
        <w:t xml:space="preserve"> KARCHER MV5 PREMIUM 1.348-230</w:t>
      </w:r>
    </w:p>
    <w:p w:rsidR="004F6968" w:rsidRPr="00044AD9" w:rsidRDefault="00232E4A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</w:t>
      </w:r>
      <w:r w:rsidR="00904A2C">
        <w:rPr>
          <w:b/>
          <w:sz w:val="28"/>
          <w:szCs w:val="28"/>
          <w:u w:val="single"/>
        </w:rPr>
        <w:t>А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bookmarkStart w:id="1" w:name="_GoBack"/>
      <w:bookmarkEnd w:id="1"/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151"/>
        <w:gridCol w:w="2151"/>
        <w:gridCol w:w="6453"/>
      </w:tblGrid>
      <w:tr w:rsidR="00012096" w:rsidTr="00012096">
        <w:tc>
          <w:tcPr>
            <w:tcW w:w="1000" w:type="pct"/>
            <w:vAlign w:val="center"/>
          </w:tcPr>
          <w:p w:rsidR="00012096" w:rsidRDefault="00012096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000" w:type="pct"/>
            <w:vAlign w:val="center"/>
          </w:tcPr>
          <w:p w:rsidR="00012096" w:rsidRDefault="00012096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3000" w:type="pct"/>
            <w:vAlign w:val="center"/>
          </w:tcPr>
          <w:p w:rsidR="00012096" w:rsidRDefault="00012096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012096" w:rsidRPr="00732291" w:rsidTr="00012096">
        <w:tc>
          <w:tcPr>
            <w:tcW w:w="1000" w:type="pct"/>
            <w:vAlign w:val="center"/>
          </w:tcPr>
          <w:p w:rsidR="00012096" w:rsidRPr="00286470" w:rsidRDefault="00012096" w:rsidP="00286470">
            <w:pPr>
              <w:ind w:firstLine="0"/>
              <w:rPr>
                <w:sz w:val="24"/>
                <w:szCs w:val="24"/>
              </w:rPr>
            </w:pPr>
            <w:r w:rsidRPr="00286470">
              <w:rPr>
                <w:sz w:val="24"/>
                <w:szCs w:val="24"/>
              </w:rPr>
              <w:t>ПЫЛЕСОС KARCHER MV5 PREMIUM 1.348-230</w:t>
            </w:r>
          </w:p>
          <w:p w:rsidR="00012096" w:rsidRPr="00286470" w:rsidRDefault="00012096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  <w:lang w:val="en-US"/>
              </w:rPr>
            </w:pPr>
          </w:p>
        </w:tc>
        <w:tc>
          <w:tcPr>
            <w:tcW w:w="1000" w:type="pct"/>
            <w:vAlign w:val="center"/>
          </w:tcPr>
          <w:p w:rsidR="00012096" w:rsidRPr="00286470" w:rsidRDefault="00012096" w:rsidP="002864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3000" w:type="pct"/>
            <w:vAlign w:val="center"/>
          </w:tcPr>
          <w:p w:rsidR="00012096" w:rsidRPr="00CA4448" w:rsidRDefault="00012096" w:rsidP="00CA4448">
            <w:pPr>
              <w:ind w:firstLine="0"/>
            </w:pPr>
            <w:r w:rsidRPr="00CA4448">
              <w:rPr>
                <w:color w:val="000000"/>
              </w:rPr>
              <w:t xml:space="preserve">Напряжение, (В) 220 </w:t>
            </w:r>
            <w:r>
              <w:rPr>
                <w:color w:val="000000"/>
              </w:rPr>
              <w:t>–</w:t>
            </w:r>
            <w:r w:rsidRPr="00CA4448">
              <w:rPr>
                <w:color w:val="000000"/>
              </w:rPr>
              <w:t xml:space="preserve"> 240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Объем мусо</w:t>
            </w:r>
            <w:r>
              <w:rPr>
                <w:color w:val="000000"/>
              </w:rPr>
              <w:t>росборника, (л) 25 (нерж. сталь</w:t>
            </w:r>
            <w:r w:rsidRPr="00CA4448">
              <w:rPr>
                <w:color w:val="000000"/>
              </w:rPr>
              <w:t>)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Потребляемая мощность, (кВт) 1,1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Длина кабеля, (м) 5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</w:t>
            </w:r>
            <w:proofErr w:type="spellStart"/>
            <w:r w:rsidRPr="00CA4448">
              <w:rPr>
                <w:color w:val="000000"/>
              </w:rPr>
              <w:t>Номин</w:t>
            </w:r>
            <w:proofErr w:type="spellEnd"/>
            <w:r w:rsidRPr="00CA4448">
              <w:rPr>
                <w:color w:val="000000"/>
              </w:rPr>
              <w:t>. диаметр принадлежностей, (</w:t>
            </w:r>
            <w:proofErr w:type="gramStart"/>
            <w:r w:rsidRPr="00CA4448">
              <w:rPr>
                <w:color w:val="000000"/>
              </w:rPr>
              <w:t>мм</w:t>
            </w:r>
            <w:proofErr w:type="gramEnd"/>
            <w:r w:rsidRPr="00CA4448">
              <w:rPr>
                <w:color w:val="000000"/>
              </w:rPr>
              <w:t>) 35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Масса, (</w:t>
            </w:r>
            <w:proofErr w:type="gramStart"/>
            <w:r w:rsidRPr="00CA4448">
              <w:rPr>
                <w:color w:val="000000"/>
              </w:rPr>
              <w:t>кг</w:t>
            </w:r>
            <w:proofErr w:type="gramEnd"/>
            <w:r w:rsidRPr="00CA4448">
              <w:rPr>
                <w:color w:val="000000"/>
              </w:rPr>
              <w:t>) 8,2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Размеры </w:t>
            </w:r>
            <w:proofErr w:type="spellStart"/>
            <w:r w:rsidRPr="00CA4448">
              <w:rPr>
                <w:color w:val="000000"/>
              </w:rPr>
              <w:t>ДхШхВ</w:t>
            </w:r>
            <w:proofErr w:type="spellEnd"/>
            <w:r w:rsidRPr="00CA4448">
              <w:rPr>
                <w:color w:val="000000"/>
              </w:rPr>
              <w:t>, (мм) 420 х 380 х 625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Комплектация: Всасывающий шланг 2,2м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Съемная рукоятка антистатическая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Удлинительные трубки (2 х 0,5 м) </w:t>
            </w:r>
            <w:proofErr w:type="spellStart"/>
            <w:r w:rsidRPr="00CA4448">
              <w:rPr>
                <w:color w:val="000000"/>
              </w:rPr>
              <w:t>пластм</w:t>
            </w:r>
            <w:proofErr w:type="spellEnd"/>
            <w:r w:rsidRPr="00CA4448">
              <w:rPr>
                <w:color w:val="000000"/>
              </w:rPr>
              <w:t>. Насадка для влажной и сухой уборки с защёлкой, 2 резин</w:t>
            </w:r>
            <w:proofErr w:type="gramStart"/>
            <w:r w:rsidRPr="00CA4448">
              <w:rPr>
                <w:color w:val="000000"/>
              </w:rPr>
              <w:t>.</w:t>
            </w:r>
            <w:proofErr w:type="gramEnd"/>
            <w:r w:rsidRPr="00CA4448">
              <w:rPr>
                <w:color w:val="000000"/>
              </w:rPr>
              <w:t xml:space="preserve"> </w:t>
            </w:r>
            <w:proofErr w:type="gramStart"/>
            <w:r w:rsidRPr="00CA4448">
              <w:rPr>
                <w:color w:val="000000"/>
              </w:rPr>
              <w:t>и</w:t>
            </w:r>
            <w:proofErr w:type="gramEnd"/>
            <w:r w:rsidRPr="00CA4448">
              <w:rPr>
                <w:color w:val="000000"/>
              </w:rPr>
              <w:t xml:space="preserve"> 2 </w:t>
            </w:r>
            <w:proofErr w:type="spellStart"/>
            <w:r w:rsidRPr="00CA4448">
              <w:rPr>
                <w:color w:val="000000"/>
              </w:rPr>
              <w:t>щеточн</w:t>
            </w:r>
            <w:proofErr w:type="spellEnd"/>
            <w:r w:rsidRPr="00CA4448">
              <w:rPr>
                <w:color w:val="000000"/>
              </w:rPr>
              <w:t>. полосками Плоский складчатый фильтр в кассете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Щелевая насадка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Фильтр-мешок из </w:t>
            </w:r>
            <w:proofErr w:type="spellStart"/>
            <w:r w:rsidRPr="00CA4448">
              <w:rPr>
                <w:color w:val="000000"/>
              </w:rPr>
              <w:t>нетк</w:t>
            </w:r>
            <w:proofErr w:type="spellEnd"/>
            <w:r w:rsidRPr="00CA4448">
              <w:rPr>
                <w:color w:val="000000"/>
              </w:rPr>
              <w:t>. Материала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Функция выдувания</w:t>
            </w:r>
            <w:r>
              <w:rPr>
                <w:color w:val="000000"/>
              </w:rPr>
              <w:t>.</w:t>
            </w:r>
            <w:r w:rsidRPr="00CA4448">
              <w:rPr>
                <w:color w:val="000000"/>
              </w:rPr>
              <w:t xml:space="preserve"> 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lastRenderedPageBreak/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22B" w:rsidRDefault="002F522B">
      <w:r>
        <w:separator/>
      </w:r>
    </w:p>
  </w:endnote>
  <w:endnote w:type="continuationSeparator" w:id="0">
    <w:p w:rsidR="002F522B" w:rsidRDefault="002F5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22B" w:rsidRDefault="002F522B">
      <w:r>
        <w:separator/>
      </w:r>
    </w:p>
  </w:footnote>
  <w:footnote w:type="continuationSeparator" w:id="0">
    <w:p w:rsidR="002F522B" w:rsidRDefault="002F5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2096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425E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165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397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470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22B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6508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CA0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04A2C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448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06B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7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A64A15BB-8AF3-420E-8D6C-4DB97023C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7</cp:revision>
  <cp:lastPrinted>2010-09-30T13:29:00Z</cp:lastPrinted>
  <dcterms:created xsi:type="dcterms:W3CDTF">2015-02-10T11:29:00Z</dcterms:created>
  <dcterms:modified xsi:type="dcterms:W3CDTF">2015-02-16T08:57:00Z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