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3" w:rsidRPr="00083D75" w:rsidRDefault="00DC23A3" w:rsidP="00DC23A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C23A3" w:rsidTr="008C3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DC23A3" w:rsidTr="008C3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Pr="00DC23A3" w:rsidRDefault="00DC23A3" w:rsidP="00DC23A3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DC23A3">
              <w:rPr>
                <w:rFonts w:ascii="Tahoma" w:hAnsi="Tahoma" w:cs="Tahoma"/>
                <w:b/>
                <w:color w:val="000000"/>
              </w:rPr>
              <w:t>2274572</w:t>
            </w:r>
          </w:p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</w:tbl>
    <w:p w:rsidR="00DC23A3" w:rsidRDefault="00DC23A3" w:rsidP="00DC23A3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60CAC">
        <w:rPr>
          <w:sz w:val="24"/>
          <w:szCs w:val="24"/>
        </w:rPr>
        <w:t xml:space="preserve">Заместителя директора филиала </w:t>
      </w:r>
      <w:proofErr w:type="gramStart"/>
      <w:r w:rsidRPr="00060CAC">
        <w:rPr>
          <w:sz w:val="24"/>
          <w:szCs w:val="24"/>
        </w:rPr>
        <w:t>по</w:t>
      </w:r>
      <w:proofErr w:type="gramEnd"/>
      <w:r w:rsidRPr="00060CAC">
        <w:rPr>
          <w:sz w:val="24"/>
          <w:szCs w:val="24"/>
        </w:rPr>
        <w:t xml:space="preserve"> </w:t>
      </w:r>
    </w:p>
    <w:p w:rsidR="00DC23A3" w:rsidRDefault="00DC23A3" w:rsidP="00DC23A3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60CAC">
        <w:rPr>
          <w:sz w:val="24"/>
          <w:szCs w:val="24"/>
        </w:rPr>
        <w:t xml:space="preserve">техническим вопросам </w:t>
      </w:r>
      <w:r>
        <w:rPr>
          <w:sz w:val="24"/>
          <w:szCs w:val="24"/>
        </w:rPr>
        <w:t xml:space="preserve">– главный </w:t>
      </w:r>
      <w:r w:rsidRPr="00060CAC">
        <w:rPr>
          <w:sz w:val="24"/>
          <w:szCs w:val="24"/>
        </w:rPr>
        <w:t>инженер</w:t>
      </w:r>
    </w:p>
    <w:p w:rsidR="00DC23A3" w:rsidRPr="00EB40C8" w:rsidRDefault="00DC23A3" w:rsidP="00DC23A3">
      <w:pPr>
        <w:spacing w:line="276" w:lineRule="auto"/>
        <w:ind w:right="-1"/>
        <w:jc w:val="right"/>
        <w:rPr>
          <w:sz w:val="26"/>
          <w:szCs w:val="26"/>
        </w:rPr>
      </w:pPr>
    </w:p>
    <w:p w:rsidR="00DC23A3" w:rsidRPr="00EB40C8" w:rsidRDefault="00DC23A3" w:rsidP="00DC23A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/</w:t>
      </w:r>
      <w:r w:rsidRPr="000146B4">
        <w:rPr>
          <w:sz w:val="24"/>
          <w:szCs w:val="24"/>
        </w:rPr>
        <w:t xml:space="preserve"> </w:t>
      </w:r>
      <w:r w:rsidRPr="00060CAC">
        <w:rPr>
          <w:sz w:val="24"/>
          <w:szCs w:val="24"/>
        </w:rPr>
        <w:t>И.В. Колубанов</w:t>
      </w:r>
    </w:p>
    <w:p w:rsidR="00DC23A3" w:rsidRPr="00EB40C8" w:rsidRDefault="00DC23A3" w:rsidP="00DC23A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16</w:t>
      </w:r>
      <w:r w:rsidRPr="00083D75">
        <w:rPr>
          <w:sz w:val="26"/>
          <w:szCs w:val="26"/>
        </w:rPr>
        <w:t xml:space="preserve">” </w:t>
      </w:r>
      <w:r>
        <w:rPr>
          <w:sz w:val="26"/>
          <w:szCs w:val="26"/>
        </w:rPr>
        <w:t>февраля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15</w:t>
      </w:r>
      <w:r w:rsidRPr="00EB40C8">
        <w:rPr>
          <w:sz w:val="26"/>
          <w:szCs w:val="26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DC23A3" w:rsidRDefault="00DC23A3" w:rsidP="00DC23A3">
      <w:pPr>
        <w:ind w:firstLine="0"/>
        <w:rPr>
          <w:rFonts w:ascii="Tahoma" w:hAnsi="Tahoma" w:cs="Tahoma"/>
          <w:color w:val="000000"/>
        </w:rPr>
      </w:pPr>
      <w:r>
        <w:rPr>
          <w:b/>
          <w:sz w:val="28"/>
          <w:szCs w:val="28"/>
        </w:rPr>
        <w:t xml:space="preserve">            на поставку чайника электрического</w:t>
      </w:r>
      <w:r w:rsidRPr="00DC23A3">
        <w:rPr>
          <w:rFonts w:ascii="Tahoma" w:hAnsi="Tahoma" w:cs="Tahoma"/>
          <w:b/>
          <w:color w:val="000000"/>
        </w:rPr>
        <w:t xml:space="preserve"> SCARLETT SC-222</w:t>
      </w:r>
      <w:r w:rsidR="0089395A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89395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401А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562A60" w:rsidTr="00562A60">
        <w:tc>
          <w:tcPr>
            <w:tcW w:w="1000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ГОСТ / ТУ</w:t>
            </w:r>
          </w:p>
        </w:tc>
        <w:tc>
          <w:tcPr>
            <w:tcW w:w="3000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Цвет / характеристика</w:t>
            </w:r>
          </w:p>
        </w:tc>
      </w:tr>
      <w:tr w:rsidR="00562A60" w:rsidRPr="00732291" w:rsidTr="00562A60">
        <w:tc>
          <w:tcPr>
            <w:tcW w:w="1000" w:type="pct"/>
            <w:vAlign w:val="center"/>
          </w:tcPr>
          <w:p w:rsidR="00562A60" w:rsidRPr="008C61F3" w:rsidRDefault="008C61F3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Чайник</w:t>
            </w:r>
            <w:r w:rsidRPr="008C61F3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8C61F3">
              <w:rPr>
                <w:bCs/>
                <w:sz w:val="22"/>
                <w:szCs w:val="22"/>
              </w:rPr>
              <w:t>Scarlett</w:t>
            </w:r>
            <w:proofErr w:type="spellEnd"/>
            <w:r w:rsidRPr="008C61F3">
              <w:rPr>
                <w:bCs/>
                <w:sz w:val="22"/>
                <w:szCs w:val="22"/>
              </w:rPr>
              <w:t xml:space="preserve"> SC-222</w:t>
            </w:r>
          </w:p>
        </w:tc>
        <w:tc>
          <w:tcPr>
            <w:tcW w:w="1000" w:type="pct"/>
            <w:vAlign w:val="center"/>
          </w:tcPr>
          <w:p w:rsidR="00562A60" w:rsidRPr="00732291" w:rsidRDefault="00562A60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000" w:type="pct"/>
            <w:vAlign w:val="center"/>
          </w:tcPr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Тип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чайник</w:t>
            </w:r>
          </w:p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Объем чайника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1.7 л</w:t>
            </w:r>
          </w:p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Материал корпуса </w:t>
            </w:r>
            <w:r>
              <w:rPr>
                <w:sz w:val="24"/>
                <w:szCs w:val="24"/>
              </w:rPr>
              <w:t>-</w:t>
            </w:r>
            <w:r w:rsidRPr="008C61F3">
              <w:rPr>
                <w:sz w:val="24"/>
                <w:szCs w:val="24"/>
              </w:rPr>
              <w:t xml:space="preserve"> </w:t>
            </w:r>
            <w:hyperlink r:id="rId12" w:tooltip="Электрические металлические чайники" w:history="1">
              <w:r w:rsidRPr="008C61F3">
                <w:rPr>
                  <w:sz w:val="24"/>
                  <w:szCs w:val="24"/>
                  <w:u w:val="single"/>
                </w:rPr>
                <w:t>металл</w:t>
              </w:r>
            </w:hyperlink>
          </w:p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Мощность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2200 Вт</w:t>
            </w:r>
          </w:p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Тип нагревательного элемента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закрытая спираль</w:t>
            </w:r>
          </w:p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Страна-производитель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Китай</w:t>
            </w:r>
          </w:p>
          <w:p w:rsidR="008C61F3" w:rsidRPr="008C61F3" w:rsidRDefault="008C61F3" w:rsidP="008C61F3">
            <w:pPr>
              <w:numPr>
                <w:ilvl w:val="0"/>
                <w:numId w:val="5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Гарантия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1 год</w:t>
            </w:r>
          </w:p>
          <w:p w:rsidR="008C61F3" w:rsidRPr="00997EB2" w:rsidRDefault="008C61F3" w:rsidP="008C61F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Функциональные возможности </w:t>
            </w:r>
          </w:p>
          <w:p w:rsidR="008C61F3" w:rsidRPr="008C61F3" w:rsidRDefault="008C61F3" w:rsidP="008C61F3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Блокировка крышки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есть</w:t>
            </w:r>
          </w:p>
          <w:p w:rsidR="008C61F3" w:rsidRPr="008C61F3" w:rsidRDefault="008C61F3" w:rsidP="008C61F3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Встроенный фильтр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есть</w:t>
            </w:r>
          </w:p>
          <w:p w:rsidR="008C61F3" w:rsidRPr="008C61F3" w:rsidRDefault="008C61F3" w:rsidP="008C61F3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Индикация включения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есть</w:t>
            </w:r>
          </w:p>
          <w:p w:rsidR="008C61F3" w:rsidRPr="008C61F3" w:rsidRDefault="008C61F3" w:rsidP="008C61F3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Блокировка включения без воды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есть</w:t>
            </w:r>
          </w:p>
          <w:p w:rsidR="008C61F3" w:rsidRPr="008C61F3" w:rsidRDefault="008C61F3" w:rsidP="008C61F3">
            <w:pPr>
              <w:numPr>
                <w:ilvl w:val="0"/>
                <w:numId w:val="6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Индикатор уровня воды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есть</w:t>
            </w:r>
          </w:p>
          <w:p w:rsidR="008C61F3" w:rsidRPr="00997EB2" w:rsidRDefault="008C61F3" w:rsidP="008C61F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</w:t>
            </w:r>
          </w:p>
          <w:p w:rsidR="00562A60" w:rsidRPr="008C61F3" w:rsidRDefault="008C61F3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997EB2">
              <w:rPr>
                <w:sz w:val="24"/>
                <w:szCs w:val="24"/>
              </w:rPr>
              <w:t xml:space="preserve">Отсек для хранения шнура </w:t>
            </w:r>
            <w:r>
              <w:rPr>
                <w:sz w:val="24"/>
                <w:szCs w:val="24"/>
              </w:rPr>
              <w:t xml:space="preserve">- </w:t>
            </w:r>
            <w:r w:rsidRPr="008C61F3">
              <w:rPr>
                <w:sz w:val="24"/>
                <w:szCs w:val="24"/>
              </w:rPr>
              <w:t>есть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lastRenderedPageBreak/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1" w:name="_GoBack"/>
      <w:bookmarkEnd w:id="1"/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C23A3" w:rsidP="00DC23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службы диагностики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C23A3" w:rsidP="00DC23A3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/ Таланов В. Н.</w:t>
            </w: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DC23A3" w:rsidP="00E172C1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6539865</wp:posOffset>
            </wp:positionV>
            <wp:extent cx="1287145" cy="685800"/>
            <wp:effectExtent l="19050" t="0" r="8255" b="0"/>
            <wp:wrapNone/>
            <wp:docPr id="7" name="Рисунок 1" descr="C:\Documents and Settings\talanov.vn\Мои документы\Подписи\Т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talanov.vn\Мои документы\Подписи\Тал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3823" t="8943" r="32007" b="22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4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233" w:rsidRDefault="003A3233">
      <w:r>
        <w:separator/>
      </w:r>
    </w:p>
  </w:endnote>
  <w:endnote w:type="continuationSeparator" w:id="0">
    <w:p w:rsidR="003A3233" w:rsidRDefault="003A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233" w:rsidRDefault="003A3233">
      <w:r>
        <w:separator/>
      </w:r>
    </w:p>
  </w:footnote>
  <w:footnote w:type="continuationSeparator" w:id="0">
    <w:p w:rsidR="003A3233" w:rsidRDefault="003A3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9141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3314B0"/>
    <w:multiLevelType w:val="multilevel"/>
    <w:tmpl w:val="CA96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5F0BA1"/>
    <w:multiLevelType w:val="multilevel"/>
    <w:tmpl w:val="813C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E1A7777"/>
    <w:multiLevelType w:val="multilevel"/>
    <w:tmpl w:val="CA34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231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0D3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3233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2A60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61F3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4151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3A3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3728F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sotmarket.ru/category/ehlektricheskie_chajniki/metall_korpusa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0F74D20-9999-4800-8B7F-1E9B97A2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3</cp:revision>
  <cp:lastPrinted>2010-09-30T13:29:00Z</cp:lastPrinted>
  <dcterms:created xsi:type="dcterms:W3CDTF">2015-02-17T05:13:00Z</dcterms:created>
  <dcterms:modified xsi:type="dcterms:W3CDTF">2015-02-26T13:14:00Z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