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35FEA369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691BAF">
            <w:rPr>
              <w:sz w:val="26"/>
              <w:szCs w:val="26"/>
              <w:lang w:val="ru-RU"/>
            </w:rPr>
            <w:t>ВЛ-0,4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691BAF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31B89F93" w:rsidR="00F15D17" w:rsidRPr="00512BDA" w:rsidRDefault="001D1137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691BAF">
            <w:rPr>
              <w:b/>
              <w:sz w:val="26"/>
              <w:szCs w:val="26"/>
              <w:lang w:val="ru-RU"/>
            </w:rPr>
            <w:t>Голубенко Валентина Семеновна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1BFE5604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691BAF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7FEE76C5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 xml:space="preserve">нового </w:t>
      </w:r>
      <w:r w:rsidR="00506E8F" w:rsidRPr="00833923">
        <w:rPr>
          <w:sz w:val="24"/>
          <w:szCs w:val="24"/>
          <w:lang w:val="ru-RU"/>
        </w:rPr>
        <w:t>строительства</w:t>
      </w:r>
      <w:r w:rsidR="00B15B6B" w:rsidRPr="00833923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691BAF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833923">
        <w:rPr>
          <w:sz w:val="24"/>
          <w:szCs w:val="24"/>
          <w:lang w:val="ru-RU"/>
        </w:rPr>
        <w:t>,</w:t>
      </w:r>
      <w:r w:rsidRPr="00833923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691BAF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E13EDE">
        <w:rPr>
          <w:sz w:val="26"/>
          <w:szCs w:val="26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691BAF" w:rsidRPr="00691BAF">
            <w:rPr>
              <w:sz w:val="24"/>
              <w:szCs w:val="24"/>
              <w:lang w:val="ru-RU"/>
            </w:rPr>
            <w:t>Тамбовский район, Кузьмино-Гатьевский сельсовет, территория товарищества собственников недвижимости «Зарядье», участок №12, КН 68:20:6334002:1672</w:t>
          </w:r>
        </w:sdtContent>
      </w:sdt>
      <w:r w:rsidR="00E2789B" w:rsidRPr="00691BAF">
        <w:rPr>
          <w:bCs/>
          <w:sz w:val="24"/>
          <w:szCs w:val="24"/>
          <w:lang w:val="ru-RU"/>
        </w:rPr>
        <w:t>)</w:t>
      </w:r>
      <w:r w:rsidR="00F961D8" w:rsidRPr="00691BAF">
        <w:rPr>
          <w:bCs/>
          <w:iCs/>
          <w:sz w:val="24"/>
          <w:szCs w:val="24"/>
          <w:lang w:val="ru-RU"/>
        </w:rPr>
        <w:t>, с учетом</w:t>
      </w:r>
      <w:r w:rsidR="00F961D8" w:rsidRPr="000F2BC0">
        <w:rPr>
          <w:bCs/>
          <w:iCs/>
          <w:sz w:val="24"/>
          <w:szCs w:val="24"/>
          <w:lang w:val="ru-RU"/>
        </w:rPr>
        <w:t xml:space="preserve">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203E3220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41899295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24.10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56B60C2F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20601231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21.10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5666C5FF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4CE15641" w14:textId="3D042992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691BAF">
            <w:rPr>
              <w:bCs/>
              <w:sz w:val="24"/>
              <w:szCs w:val="24"/>
            </w:rPr>
            <w:t>ВЛИ-0,4 кВ от РУ-0,4 кВ ТП-10/0,4 кВ по ТУ №20597326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691BAF" w:rsidRPr="00691BAF">
            <w:rPr>
              <w:bCs/>
              <w:sz w:val="24"/>
              <w:szCs w:val="24"/>
            </w:rPr>
            <w:t>41899295</w:t>
          </w:r>
          <w:r w:rsidR="00691BAF">
            <w:rPr>
              <w:bCs/>
              <w:sz w:val="24"/>
              <w:szCs w:val="24"/>
            </w:rPr>
            <w:t>.02</w:t>
          </w:r>
        </w:sdtContent>
      </w:sdt>
      <w:r w:rsidR="0013274B">
        <w:rPr>
          <w:bCs/>
          <w:sz w:val="24"/>
          <w:szCs w:val="24"/>
        </w:rPr>
        <w:t>)</w:t>
      </w:r>
      <w:r w:rsidR="00691BAF">
        <w:rPr>
          <w:bCs/>
          <w:sz w:val="24"/>
          <w:szCs w:val="24"/>
        </w:rPr>
        <w:t>.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77777777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кВ: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691BAF" w:rsidRPr="00907283" w14:paraId="16E7FBE3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04930308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lastRenderedPageBreak/>
              <w:t>Проектируемая ВЛИ–0,4 кВ</w:t>
            </w:r>
          </w:p>
        </w:tc>
      </w:tr>
      <w:tr w:rsidR="00691BAF" w:rsidRPr="00907283" w14:paraId="34797A7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CB6ECDC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70A99301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691BAF" w:rsidRPr="00907283" w14:paraId="04A563BB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35BC654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62D4469A" w14:textId="0C29BA44" w:rsidR="00691BAF" w:rsidRPr="00907283" w:rsidRDefault="00691BAF" w:rsidP="00691BA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B19E0070EE8E4C9F9512739A6F83AB40"/>
                </w:placeholder>
              </w:sdtPr>
              <w:sdtContent>
                <w:r>
                  <w:rPr>
                    <w:sz w:val="24"/>
                    <w:szCs w:val="24"/>
                  </w:rPr>
                  <w:t>570</w:t>
                </w:r>
              </w:sdtContent>
            </w:sdt>
          </w:p>
        </w:tc>
      </w:tr>
      <w:tr w:rsidR="00691BAF" w:rsidRPr="00907283" w14:paraId="0D61440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7EFB1FB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218BDB1A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691BAF" w:rsidRPr="00907283" w14:paraId="4C90DF3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77B49E8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E62D75989AC941329A5028053238006E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7FCF3E2A" w14:textId="782F4171" w:rsidR="00691BAF" w:rsidRPr="00907283" w:rsidRDefault="00691BAF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>3-х фазное 4-х проводное + жила уличного освещения</w:t>
                </w:r>
              </w:p>
            </w:sdtContent>
          </w:sdt>
        </w:tc>
      </w:tr>
      <w:tr w:rsidR="00691BAF" w:rsidRPr="00907283" w14:paraId="2782A5E0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CD155D1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35D61C47" w14:textId="2498D605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9486D5FB07F24CA5BEF4D4023F8F5FE0"/>
                </w:placeholder>
              </w:sdtPr>
              <w:sdtContent>
                <w:r>
                  <w:rPr>
                    <w:sz w:val="24"/>
                    <w:szCs w:val="24"/>
                  </w:rPr>
                  <w:t>70</w:t>
                </w:r>
                <w:bookmarkStart w:id="0" w:name="_GoBack"/>
                <w:bookmarkEnd w:id="0"/>
              </w:sdtContent>
            </w:sdt>
          </w:p>
          <w:p w14:paraId="72079240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691BAF" w:rsidRPr="00907283" w14:paraId="4B9C529C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A224955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70641C3D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691BAF" w:rsidRPr="00907283" w14:paraId="58E24564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71A0DA7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4D8A977C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691BAF" w:rsidRPr="00907283" w14:paraId="208838F2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B8CE2E5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66E955AA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691BAF" w:rsidRPr="00907283" w14:paraId="2752F65A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24FD5BC1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26B5CBAA" w14:textId="77777777" w:rsidR="00691BAF" w:rsidRPr="00907283" w:rsidRDefault="00691BA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34C19A03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lastRenderedPageBreak/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023E2B3A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260D0426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5C64E27F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14:paraId="255217ED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596CA741" w14:textId="77777777" w:rsidR="00691BAF" w:rsidRPr="00907283" w:rsidRDefault="00691BAF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Требования к линейной арматуре для ВЛИ-0,4 кВ:</w:t>
      </w:r>
    </w:p>
    <w:p w14:paraId="38593F62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52E1531D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293E6870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5A394F8D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63ADBD45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1B42F33C" w14:textId="77777777" w:rsidR="00691BAF" w:rsidRPr="00907283" w:rsidRDefault="00691BAF" w:rsidP="00691BA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</w:t>
      </w:r>
      <w:r w:rsidRPr="000F2BC0">
        <w:rPr>
          <w:bCs/>
          <w:iCs/>
          <w:sz w:val="24"/>
          <w:szCs w:val="24"/>
        </w:rPr>
        <w:lastRenderedPageBreak/>
        <w:t>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</w:t>
      </w:r>
      <w:r w:rsidRPr="000F2BC0">
        <w:rPr>
          <w:bCs/>
          <w:sz w:val="24"/>
          <w:szCs w:val="24"/>
          <w:lang w:eastAsia="ar-SA"/>
        </w:rPr>
        <w:lastRenderedPageBreak/>
        <w:t>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CF473" w14:textId="77777777" w:rsidR="001D1137" w:rsidRDefault="001D1137">
      <w:r>
        <w:separator/>
      </w:r>
    </w:p>
  </w:endnote>
  <w:endnote w:type="continuationSeparator" w:id="0">
    <w:p w14:paraId="694575B6" w14:textId="77777777" w:rsidR="001D1137" w:rsidRDefault="001D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8C85D" w14:textId="77777777" w:rsidR="001D1137" w:rsidRDefault="001D1137">
      <w:r>
        <w:separator/>
      </w:r>
    </w:p>
  </w:footnote>
  <w:footnote w:type="continuationSeparator" w:id="0">
    <w:p w14:paraId="0FFEEB5E" w14:textId="77777777" w:rsidR="001D1137" w:rsidRDefault="001D1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691BAF">
      <w:rPr>
        <w:rStyle w:val="a8"/>
        <w:noProof/>
      </w:rPr>
      <w:t>2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1137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BAF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3923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04A58" w:rsidP="00C04A5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04A58" w:rsidP="00C04A5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B19E0070EE8E4C9F9512739A6F83AB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EDBDAB-119B-4191-B7B4-198C46E1BE5E}"/>
      </w:docPartPr>
      <w:docPartBody>
        <w:p w:rsidR="00000000" w:rsidRDefault="00D67E3F" w:rsidP="00D67E3F">
          <w:pPr>
            <w:pStyle w:val="B19E0070EE8E4C9F9512739A6F83AB40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E62D75989AC941329A502805323800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9649E6-2251-4B5F-9112-DEDD62619BF0}"/>
      </w:docPartPr>
      <w:docPartBody>
        <w:p w:rsidR="00000000" w:rsidRDefault="00D67E3F" w:rsidP="00D67E3F">
          <w:pPr>
            <w:pStyle w:val="E62D75989AC941329A5028053238006E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9486D5FB07F24CA5BEF4D4023F8F5F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419776-D563-4F0C-904F-F0F1884CE57C}"/>
      </w:docPartPr>
      <w:docPartBody>
        <w:p w:rsidR="00000000" w:rsidRDefault="00D67E3F" w:rsidP="00D67E3F">
          <w:pPr>
            <w:pStyle w:val="9486D5FB07F24CA5BEF4D4023F8F5FE0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246314"/>
    <w:rsid w:val="002A0042"/>
    <w:rsid w:val="003F0668"/>
    <w:rsid w:val="0041167A"/>
    <w:rsid w:val="00613BC9"/>
    <w:rsid w:val="009D1041"/>
    <w:rsid w:val="00BD6A29"/>
    <w:rsid w:val="00C04A58"/>
    <w:rsid w:val="00C127D2"/>
    <w:rsid w:val="00C75B88"/>
    <w:rsid w:val="00D67E3F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E3F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6D084025CA4E52946AA86EA5D474FB">
    <w:name w:val="0B6D084025CA4E52946AA86EA5D474FB"/>
    <w:rsid w:val="00D67E3F"/>
  </w:style>
  <w:style w:type="paragraph" w:customStyle="1" w:styleId="B19E0070EE8E4C9F9512739A6F83AB40">
    <w:name w:val="B19E0070EE8E4C9F9512739A6F83AB40"/>
    <w:rsid w:val="00D67E3F"/>
  </w:style>
  <w:style w:type="paragraph" w:customStyle="1" w:styleId="E62D75989AC941329A5028053238006E">
    <w:name w:val="E62D75989AC941329A5028053238006E"/>
    <w:rsid w:val="00D67E3F"/>
  </w:style>
  <w:style w:type="paragraph" w:customStyle="1" w:styleId="9486D5FB07F24CA5BEF4D4023F8F5FE0">
    <w:name w:val="9486D5FB07F24CA5BEF4D4023F8F5FE0"/>
    <w:rsid w:val="00D67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1C11F-CCC7-4396-86E8-037A7173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0</TotalTime>
  <Pages>9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2019-10-25T10:30:00Z</dcterms:created>
  <dcterms:modified xsi:type="dcterms:W3CDTF">2019-10-25T10:30:00Z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