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2462A0" w:rsidP="002B2C4E">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7D60DC">
        <w:rPr>
          <w:b/>
          <w:sz w:val="26"/>
          <w:szCs w:val="26"/>
        </w:rPr>
        <w:t>устройств</w:t>
      </w:r>
      <w:r w:rsidR="003C653C">
        <w:rPr>
          <w:b/>
          <w:sz w:val="26"/>
          <w:szCs w:val="26"/>
        </w:rPr>
        <w:t xml:space="preserve"> РЗА</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2B2C4E" w:rsidRPr="002B2C4E">
        <w:rPr>
          <w:b/>
          <w:sz w:val="26"/>
          <w:szCs w:val="26"/>
        </w:rPr>
        <w:t>0</w:t>
      </w:r>
      <w:r w:rsidR="007D60DC">
        <w:rPr>
          <w:b/>
          <w:sz w:val="26"/>
          <w:szCs w:val="26"/>
        </w:rPr>
        <w:t>4</w:t>
      </w:r>
      <w:r w:rsidRPr="002B2C4E">
        <w:rPr>
          <w:b/>
          <w:sz w:val="26"/>
          <w:szCs w:val="26"/>
        </w:rPr>
        <w:t xml:space="preserve">» </w:t>
      </w:r>
      <w:r w:rsidR="002B2C4E" w:rsidRPr="002B2C4E">
        <w:rPr>
          <w:b/>
          <w:sz w:val="26"/>
          <w:szCs w:val="26"/>
        </w:rPr>
        <w:t>октяб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3C653C">
        <w:rPr>
          <w:sz w:val="26"/>
          <w:szCs w:val="26"/>
        </w:rPr>
        <w:t xml:space="preserve">, </w:t>
      </w:r>
      <w:proofErr w:type="gramStart"/>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7D60DC" w:rsidRPr="007D60DC">
        <w:rPr>
          <w:iCs/>
          <w:sz w:val="26"/>
          <w:szCs w:val="26"/>
        </w:rPr>
        <w:t>устройств</w:t>
      </w:r>
      <w:r w:rsidR="003C653C" w:rsidRPr="003C653C">
        <w:rPr>
          <w:iCs/>
          <w:sz w:val="26"/>
          <w:szCs w:val="26"/>
        </w:rPr>
        <w:t xml:space="preserve"> РЗА</w:t>
      </w:r>
      <w:r w:rsidR="00702B2C" w:rsidRPr="002B2C4E">
        <w:rPr>
          <w:sz w:val="26"/>
          <w:szCs w:val="26"/>
        </w:rPr>
        <w:t xml:space="preserve"> для нужд</w:t>
      </w:r>
      <w:proofErr w:type="gramEnd"/>
      <w:r w:rsidR="00702B2C" w:rsidRPr="002B2C4E">
        <w:rPr>
          <w:sz w:val="26"/>
          <w:szCs w:val="26"/>
        </w:rPr>
        <w:t xml:space="preserve"> </w:t>
      </w:r>
      <w:proofErr w:type="gramStart"/>
      <w:r w:rsidR="00702B2C" w:rsidRPr="002B2C4E">
        <w:rPr>
          <w:sz w:val="26"/>
          <w:szCs w:val="26"/>
        </w:rPr>
        <w:t xml:space="preserve">ПАО «МРСК Центра» </w:t>
      </w:r>
      <w:r w:rsidR="00862664" w:rsidRPr="002B2C4E">
        <w:rPr>
          <w:sz w:val="26"/>
          <w:szCs w:val="26"/>
        </w:rPr>
        <w:t>(филиала «Орелэнерго», расположенный по адресу:</w:t>
      </w:r>
      <w:proofErr w:type="gramEnd"/>
      <w:r w:rsidR="00862664" w:rsidRPr="002B2C4E">
        <w:rPr>
          <w:sz w:val="26"/>
          <w:szCs w:val="26"/>
        </w:rPr>
        <w:t xml:space="preserve">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w:t>
      </w:r>
      <w:r w:rsidR="00702B2C" w:rsidRPr="007D60DC">
        <w:rPr>
          <w:sz w:val="26"/>
          <w:szCs w:val="26"/>
        </w:rPr>
        <w:t xml:space="preserve">поставку </w:t>
      </w:r>
      <w:r w:rsidR="007D60DC" w:rsidRPr="007D60DC">
        <w:rPr>
          <w:sz w:val="26"/>
          <w:szCs w:val="26"/>
        </w:rPr>
        <w:t>устройств</w:t>
      </w:r>
      <w:r w:rsidR="003C653C" w:rsidRPr="007D60DC">
        <w:rPr>
          <w:sz w:val="26"/>
          <w:szCs w:val="26"/>
        </w:rPr>
        <w:t xml:space="preserve"> РЗА</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7D60DC">
        <w:rPr>
          <w:b/>
          <w:sz w:val="26"/>
          <w:szCs w:val="26"/>
        </w:rPr>
        <w:t>45</w:t>
      </w:r>
      <w:r w:rsidR="00A57CF5" w:rsidRPr="001828AC">
        <w:rPr>
          <w:b/>
          <w:sz w:val="26"/>
          <w:szCs w:val="26"/>
        </w:rPr>
        <w:t xml:space="preserve"> (</w:t>
      </w:r>
      <w:r w:rsidR="007D60DC">
        <w:rPr>
          <w:b/>
          <w:sz w:val="26"/>
          <w:szCs w:val="26"/>
        </w:rPr>
        <w:t>сорок пять</w:t>
      </w:r>
      <w:r w:rsidR="00A57CF5" w:rsidRPr="001828AC">
        <w:rPr>
          <w:b/>
          <w:sz w:val="26"/>
          <w:szCs w:val="26"/>
        </w:rPr>
        <w:t>) календарных дн</w:t>
      </w:r>
      <w:r w:rsidR="00A57CF5">
        <w:rPr>
          <w:b/>
          <w:sz w:val="26"/>
          <w:szCs w:val="26"/>
        </w:rPr>
        <w:t>ей</w:t>
      </w:r>
      <w:r w:rsidR="00A57CF5" w:rsidRPr="001828AC">
        <w:rPr>
          <w:b/>
          <w:sz w:val="26"/>
          <w:szCs w:val="26"/>
        </w:rPr>
        <w:t xml:space="preserve"> с момента заключения договора</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адресам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w:t>
      </w:r>
      <w:r w:rsidRPr="002B2C4E">
        <w:rPr>
          <w:iCs/>
          <w:sz w:val="26"/>
          <w:szCs w:val="26"/>
        </w:rPr>
        <w:lastRenderedPageBreak/>
        <w:t xml:space="preserve">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7D60DC" w:rsidRPr="003550A8">
        <w:rPr>
          <w:b/>
          <w:iCs/>
          <w:sz w:val="26"/>
          <w:szCs w:val="26"/>
        </w:rPr>
        <w:t>854 179,00</w:t>
      </w:r>
      <w:r w:rsidR="007D60DC" w:rsidRPr="007163D6">
        <w:rPr>
          <w:b/>
          <w:iCs/>
          <w:sz w:val="26"/>
          <w:szCs w:val="26"/>
        </w:rPr>
        <w:t xml:space="preserve"> </w:t>
      </w:r>
      <w:r w:rsidR="007D60DC" w:rsidRPr="007163D6">
        <w:rPr>
          <w:iCs/>
          <w:sz w:val="26"/>
          <w:szCs w:val="26"/>
        </w:rPr>
        <w:t>(</w:t>
      </w:r>
      <w:r w:rsidR="007D60DC">
        <w:rPr>
          <w:iCs/>
          <w:sz w:val="26"/>
          <w:szCs w:val="26"/>
        </w:rPr>
        <w:t>восемьсот пятьдесят четыре тысячи сто семьдесят девять</w:t>
      </w:r>
      <w:r w:rsidR="007D60DC" w:rsidRPr="007163D6">
        <w:rPr>
          <w:iCs/>
          <w:sz w:val="26"/>
          <w:szCs w:val="26"/>
        </w:rPr>
        <w:t>) рубл</w:t>
      </w:r>
      <w:r w:rsidR="007D60DC">
        <w:rPr>
          <w:iCs/>
          <w:sz w:val="26"/>
          <w:szCs w:val="26"/>
        </w:rPr>
        <w:t>ей</w:t>
      </w:r>
      <w:r w:rsidR="007D60DC" w:rsidRPr="007163D6">
        <w:rPr>
          <w:iCs/>
          <w:sz w:val="26"/>
          <w:szCs w:val="26"/>
        </w:rPr>
        <w:t xml:space="preserve"> 00 копеек</w:t>
      </w:r>
      <w:r w:rsidR="007D60DC" w:rsidRPr="00AB1793">
        <w:rPr>
          <w:sz w:val="26"/>
          <w:szCs w:val="26"/>
        </w:rPr>
        <w:t xml:space="preserve"> РФ, без учета НДС; НДС составляет </w:t>
      </w:r>
      <w:r w:rsidR="007D60DC">
        <w:rPr>
          <w:b/>
          <w:sz w:val="26"/>
          <w:szCs w:val="26"/>
        </w:rPr>
        <w:t>153 752,22</w:t>
      </w:r>
      <w:r w:rsidR="007D60DC" w:rsidRPr="007163D6">
        <w:rPr>
          <w:b/>
          <w:sz w:val="26"/>
          <w:szCs w:val="26"/>
        </w:rPr>
        <w:t xml:space="preserve"> </w:t>
      </w:r>
      <w:r w:rsidR="007D60DC" w:rsidRPr="007163D6">
        <w:rPr>
          <w:sz w:val="26"/>
          <w:szCs w:val="26"/>
        </w:rPr>
        <w:t>(</w:t>
      </w:r>
      <w:r w:rsidR="007D60DC">
        <w:rPr>
          <w:sz w:val="26"/>
          <w:szCs w:val="26"/>
        </w:rPr>
        <w:t>сто пятьдесят три тысячи семьсот пятьдесят два</w:t>
      </w:r>
      <w:r w:rsidR="007D60DC" w:rsidRPr="007163D6">
        <w:rPr>
          <w:sz w:val="26"/>
          <w:szCs w:val="26"/>
        </w:rPr>
        <w:t>) рубл</w:t>
      </w:r>
      <w:r w:rsidR="007D60DC">
        <w:rPr>
          <w:sz w:val="26"/>
          <w:szCs w:val="26"/>
        </w:rPr>
        <w:t>я</w:t>
      </w:r>
      <w:r w:rsidR="007D60DC" w:rsidRPr="007163D6">
        <w:rPr>
          <w:sz w:val="26"/>
          <w:szCs w:val="26"/>
        </w:rPr>
        <w:t xml:space="preserve"> </w:t>
      </w:r>
      <w:r w:rsidR="007D60DC">
        <w:rPr>
          <w:sz w:val="26"/>
          <w:szCs w:val="26"/>
        </w:rPr>
        <w:t>22</w:t>
      </w:r>
      <w:r w:rsidR="007D60DC" w:rsidRPr="007163D6">
        <w:rPr>
          <w:sz w:val="26"/>
          <w:szCs w:val="26"/>
        </w:rPr>
        <w:t xml:space="preserve"> копе</w:t>
      </w:r>
      <w:r w:rsidR="007D60DC">
        <w:rPr>
          <w:sz w:val="26"/>
          <w:szCs w:val="26"/>
        </w:rPr>
        <w:t>йки</w:t>
      </w:r>
      <w:r w:rsidR="007D60DC" w:rsidRPr="00AB1793">
        <w:rPr>
          <w:sz w:val="26"/>
          <w:szCs w:val="26"/>
        </w:rPr>
        <w:t xml:space="preserve"> РФ; </w:t>
      </w:r>
      <w:r w:rsidR="007D60DC" w:rsidRPr="003550A8">
        <w:rPr>
          <w:b/>
          <w:sz w:val="26"/>
          <w:szCs w:val="26"/>
        </w:rPr>
        <w:t>1 007 931,22</w:t>
      </w:r>
      <w:r w:rsidR="007D60DC" w:rsidRPr="007163D6">
        <w:rPr>
          <w:b/>
          <w:sz w:val="26"/>
          <w:szCs w:val="26"/>
        </w:rPr>
        <w:t xml:space="preserve"> </w:t>
      </w:r>
      <w:r w:rsidR="007D60DC" w:rsidRPr="007163D6">
        <w:rPr>
          <w:sz w:val="26"/>
          <w:szCs w:val="26"/>
        </w:rPr>
        <w:t>(</w:t>
      </w:r>
      <w:r w:rsidR="007D60DC">
        <w:rPr>
          <w:sz w:val="26"/>
          <w:szCs w:val="26"/>
        </w:rPr>
        <w:t>один миллион семь тысяч девятьсот тридцать один</w:t>
      </w:r>
      <w:r w:rsidR="007D60DC" w:rsidRPr="007163D6">
        <w:rPr>
          <w:sz w:val="26"/>
          <w:szCs w:val="26"/>
        </w:rPr>
        <w:t>) рубл</w:t>
      </w:r>
      <w:r w:rsidR="007D60DC">
        <w:rPr>
          <w:sz w:val="26"/>
          <w:szCs w:val="26"/>
        </w:rPr>
        <w:t>ь</w:t>
      </w:r>
      <w:r w:rsidR="007D60DC" w:rsidRPr="007163D6">
        <w:rPr>
          <w:sz w:val="26"/>
          <w:szCs w:val="26"/>
        </w:rPr>
        <w:t xml:space="preserve"> </w:t>
      </w:r>
      <w:r w:rsidR="007D60DC">
        <w:rPr>
          <w:sz w:val="26"/>
          <w:szCs w:val="26"/>
        </w:rPr>
        <w:t>22</w:t>
      </w:r>
      <w:r w:rsidR="007D60DC" w:rsidRPr="007163D6">
        <w:rPr>
          <w:sz w:val="26"/>
          <w:szCs w:val="26"/>
        </w:rPr>
        <w:t xml:space="preserve"> копе</w:t>
      </w:r>
      <w:r w:rsidR="007D60DC">
        <w:rPr>
          <w:sz w:val="26"/>
          <w:szCs w:val="26"/>
        </w:rPr>
        <w:t>йки</w:t>
      </w:r>
      <w:r w:rsidR="007D60DC" w:rsidRPr="00AB1793">
        <w:rPr>
          <w:sz w:val="26"/>
          <w:szCs w:val="26"/>
        </w:rPr>
        <w:t xml:space="preserve"> РФ, с учетом НДС</w:t>
      </w:r>
      <w:bookmarkStart w:id="306" w:name="_GoBack"/>
      <w:bookmarkEnd w:id="306"/>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AB1793" w:rsidRPr="009E6419">
        <w:rPr>
          <w:sz w:val="26"/>
          <w:szCs w:val="26"/>
        </w:rPr>
        <w:t xml:space="preserve">Заболотская Маргарита Владимировна (либо Алисов Максим Александрович), контактный телефон </w:t>
      </w:r>
      <w:r w:rsidR="00AB1793" w:rsidRPr="009E6419">
        <w:rPr>
          <w:b/>
          <w:sz w:val="26"/>
          <w:szCs w:val="26"/>
        </w:rPr>
        <w:t xml:space="preserve">(4862) 44-50-31 доб. </w:t>
      </w:r>
      <w:r w:rsidR="00AB1793" w:rsidRPr="009E6419">
        <w:rPr>
          <w:b/>
          <w:sz w:val="26"/>
          <w:szCs w:val="26"/>
        </w:rPr>
        <w:lastRenderedPageBreak/>
        <w:t>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w:t>
      </w:r>
      <w:r w:rsidRPr="002B2C4E">
        <w:rPr>
          <w:sz w:val="26"/>
          <w:szCs w:val="26"/>
        </w:rPr>
        <w:lastRenderedPageBreak/>
        <w:t>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lastRenderedPageBreak/>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3C653C">
        <w:rPr>
          <w:b/>
          <w:bCs w:val="0"/>
          <w:sz w:val="26"/>
          <w:szCs w:val="26"/>
        </w:rPr>
        <w:t>20</w:t>
      </w:r>
      <w:r w:rsidR="002B5044" w:rsidRPr="00AB1793">
        <w:rPr>
          <w:b/>
          <w:bCs w:val="0"/>
          <w:sz w:val="26"/>
          <w:szCs w:val="26"/>
        </w:rPr>
        <w:t xml:space="preserve"> </w:t>
      </w:r>
      <w:r w:rsidR="00AB1793" w:rsidRPr="00AB1793">
        <w:rPr>
          <w:b/>
          <w:bCs w:val="0"/>
          <w:sz w:val="26"/>
          <w:szCs w:val="26"/>
        </w:rPr>
        <w:t>октяб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Оценка Заявок будет осуществляться, исходя из электронных 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lastRenderedPageBreak/>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в существенной мере не отвечают требованиям, предъявленным к </w:t>
      </w:r>
      <w:r w:rsidRPr="002B2C4E">
        <w:rPr>
          <w:sz w:val="26"/>
          <w:szCs w:val="26"/>
        </w:rPr>
        <w:lastRenderedPageBreak/>
        <w:t>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w:t>
      </w:r>
      <w:r w:rsidRPr="002B2C4E">
        <w:rPr>
          <w:sz w:val="26"/>
          <w:szCs w:val="26"/>
          <w:lang w:eastAsia="ru-RU"/>
        </w:rPr>
        <w:lastRenderedPageBreak/>
        <w:t xml:space="preserve">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w:t>
      </w:r>
      <w:r w:rsidRPr="002B2C4E">
        <w:rPr>
          <w:sz w:val="26"/>
          <w:szCs w:val="26"/>
        </w:rPr>
        <w:lastRenderedPageBreak/>
        <w:t>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w:t>
      </w:r>
      <w:r w:rsidRPr="002B2C4E">
        <w:rPr>
          <w:sz w:val="26"/>
          <w:szCs w:val="26"/>
        </w:rPr>
        <w:lastRenderedPageBreak/>
        <w:t xml:space="preserve">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lastRenderedPageBreak/>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lastRenderedPageBreak/>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Заявка Участника, содержащая демпинговую цену Договора (цену </w:t>
      </w:r>
      <w:r w:rsidRPr="002B2C4E">
        <w:rPr>
          <w:sz w:val="26"/>
          <w:szCs w:val="26"/>
        </w:rPr>
        <w:lastRenderedPageBreak/>
        <w:t>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 xml:space="preserve">а в </w:t>
      </w:r>
      <w:r w:rsidR="00717F60" w:rsidRPr="002B2C4E">
        <w:rPr>
          <w:sz w:val="26"/>
          <w:szCs w:val="26"/>
        </w:rPr>
        <w:lastRenderedPageBreak/>
        <w:t>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w:t>
      </w:r>
      <w:r w:rsidRPr="002B2C4E">
        <w:rPr>
          <w:sz w:val="26"/>
          <w:szCs w:val="26"/>
        </w:rPr>
        <w:lastRenderedPageBreak/>
        <w:t xml:space="preserve">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2A0" w:rsidRDefault="002462A0">
      <w:pPr>
        <w:spacing w:line="240" w:lineRule="auto"/>
      </w:pPr>
      <w:r>
        <w:separator/>
      </w:r>
    </w:p>
  </w:endnote>
  <w:endnote w:type="continuationSeparator" w:id="0">
    <w:p w:rsidR="002462A0" w:rsidRDefault="002462A0">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D60DC">
      <w:rPr>
        <w:noProof/>
        <w:sz w:val="16"/>
        <w:szCs w:val="16"/>
        <w:lang w:eastAsia="ru-RU"/>
      </w:rPr>
      <w:t>39</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w:t>
    </w:r>
    <w:r w:rsidRPr="007D60DC">
      <w:rPr>
        <w:sz w:val="18"/>
        <w:szCs w:val="18"/>
      </w:rPr>
      <w:t xml:space="preserve">поставку </w:t>
    </w:r>
    <w:r w:rsidR="007D60DC" w:rsidRPr="007D60DC">
      <w:rPr>
        <w:sz w:val="18"/>
        <w:szCs w:val="18"/>
      </w:rPr>
      <w:t>устройств</w:t>
    </w:r>
    <w:r w:rsidR="003C653C" w:rsidRPr="007D60DC">
      <w:rPr>
        <w:sz w:val="18"/>
        <w:szCs w:val="18"/>
      </w:rPr>
      <w:t xml:space="preserve"> РЗА</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2A0" w:rsidRDefault="002462A0">
      <w:pPr>
        <w:spacing w:line="240" w:lineRule="auto"/>
      </w:pPr>
      <w:r>
        <w:separator/>
      </w:r>
    </w:p>
  </w:footnote>
  <w:footnote w:type="continuationSeparator" w:id="0">
    <w:p w:rsidR="002462A0" w:rsidRDefault="002462A0">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2A0"/>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D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DDF4C-25D9-4DC6-8C37-81F5D0405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93</Pages>
  <Words>27512</Words>
  <Characters>156819</Characters>
  <Application>Microsoft Office Word</Application>
  <DocSecurity>0</DocSecurity>
  <Lines>1306</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183964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47</cp:revision>
  <cp:lastPrinted>2015-12-29T14:27:00Z</cp:lastPrinted>
  <dcterms:created xsi:type="dcterms:W3CDTF">2016-12-02T12:44:00Z</dcterms:created>
  <dcterms:modified xsi:type="dcterms:W3CDTF">2017-10-04T06:22:00Z</dcterms:modified>
</cp:coreProperties>
</file>