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8A" w:rsidRDefault="0003078A" w:rsidP="0003078A"/>
    <w:p w:rsidR="00084AA3" w:rsidRDefault="00084AA3" w:rsidP="00084AA3"/>
    <w:p w:rsidR="00851AF1" w:rsidRPr="007330F5" w:rsidRDefault="00851AF1" w:rsidP="00851AF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851AF1" w:rsidRDefault="00A0452C" w:rsidP="00CF4CC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 w:rsidRPr="002F5033">
              <w:rPr>
                <w:b/>
                <w:sz w:val="26"/>
                <w:szCs w:val="26"/>
              </w:rPr>
              <w:t>309 В</w:t>
            </w:r>
          </w:p>
        </w:tc>
      </w:tr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6C67C6" w:rsidRDefault="00A0452C" w:rsidP="00CF4CC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2F5033">
              <w:rPr>
                <w:b/>
                <w:color w:val="000000"/>
                <w:sz w:val="22"/>
                <w:szCs w:val="22"/>
              </w:rPr>
              <w:t>2120742</w:t>
            </w:r>
          </w:p>
        </w:tc>
      </w:tr>
    </w:tbl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851AF1" w:rsidRPr="007330F5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07041">
        <w:rPr>
          <w:rFonts w:ascii="Times New Roman" w:hAnsi="Times New Roman"/>
          <w:sz w:val="24"/>
          <w:szCs w:val="24"/>
        </w:rPr>
        <w:t>Россети</w:t>
      </w:r>
      <w:r>
        <w:rPr>
          <w:rFonts w:ascii="Times New Roman" w:hAnsi="Times New Roman"/>
          <w:sz w:val="24"/>
          <w:szCs w:val="24"/>
        </w:rPr>
        <w:t xml:space="preserve"> Центр»-«Орелэнерго»</w:t>
      </w:r>
    </w:p>
    <w:p w:rsidR="00851AF1" w:rsidRPr="007330F5" w:rsidRDefault="00851AF1" w:rsidP="007167B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851AF1" w:rsidRPr="00153BF4" w:rsidRDefault="00851AF1" w:rsidP="00851AF1">
      <w:pPr>
        <w:pStyle w:val="2"/>
        <w:numPr>
          <w:ilvl w:val="0"/>
          <w:numId w:val="0"/>
        </w:numPr>
        <w:spacing w:after="120" w:line="360" w:lineRule="auto"/>
        <w:ind w:left="576" w:hanging="576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«03»       </w:t>
      </w:r>
      <w:r w:rsidR="005760DC">
        <w:rPr>
          <w:b w:val="0"/>
          <w:sz w:val="24"/>
          <w:szCs w:val="24"/>
          <w:u w:val="single"/>
        </w:rPr>
        <w:t>с</w:t>
      </w:r>
      <w:r>
        <w:rPr>
          <w:b w:val="0"/>
          <w:sz w:val="24"/>
          <w:szCs w:val="24"/>
          <w:u w:val="single"/>
        </w:rPr>
        <w:t xml:space="preserve">ентября        </w:t>
      </w:r>
      <w:r w:rsidRPr="002C08C1">
        <w:rPr>
          <w:b w:val="0"/>
          <w:sz w:val="24"/>
          <w:szCs w:val="24"/>
          <w:u w:val="single"/>
        </w:rPr>
        <w:t>20</w:t>
      </w:r>
      <w:r w:rsidR="00907041">
        <w:rPr>
          <w:b w:val="0"/>
          <w:sz w:val="24"/>
          <w:szCs w:val="24"/>
          <w:u w:val="single"/>
        </w:rPr>
        <w:t>21</w:t>
      </w:r>
      <w:r w:rsidRPr="002C08C1">
        <w:rPr>
          <w:b w:val="0"/>
          <w:sz w:val="24"/>
          <w:szCs w:val="24"/>
          <w:u w:val="single"/>
        </w:rPr>
        <w:t xml:space="preserve"> г.</w:t>
      </w:r>
    </w:p>
    <w:p w:rsidR="00851AF1" w:rsidRPr="00D802D5" w:rsidRDefault="00851AF1" w:rsidP="00851AF1"/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A0452C" w:rsidRPr="00AE4206" w:rsidRDefault="00A0452C" w:rsidP="007167B3">
      <w:pPr>
        <w:pStyle w:val="af7"/>
      </w:pPr>
      <w:r w:rsidRPr="00A57AE8">
        <w:rPr>
          <w:sz w:val="26"/>
          <w:szCs w:val="26"/>
        </w:rPr>
        <w:t xml:space="preserve">на поставку </w:t>
      </w:r>
      <w:r>
        <w:rPr>
          <w:sz w:val="26"/>
          <w:szCs w:val="26"/>
        </w:rPr>
        <w:t xml:space="preserve">промежуточных реле </w:t>
      </w:r>
      <w:r w:rsidRPr="00A57AE8">
        <w:rPr>
          <w:sz w:val="26"/>
          <w:szCs w:val="26"/>
        </w:rPr>
        <w:t xml:space="preserve">Лот № </w:t>
      </w:r>
      <w:r>
        <w:rPr>
          <w:sz w:val="26"/>
          <w:szCs w:val="26"/>
        </w:rPr>
        <w:t>309 В</w:t>
      </w:r>
    </w:p>
    <w:p w:rsidR="00ED09DC" w:rsidRPr="005760DC" w:rsidRDefault="00ED09DC" w:rsidP="00ED09DC">
      <w:pPr>
        <w:ind w:firstLine="0"/>
        <w:jc w:val="left"/>
        <w:rPr>
          <w:b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086"/>
        <w:gridCol w:w="1878"/>
        <w:gridCol w:w="2382"/>
        <w:gridCol w:w="2112"/>
        <w:gridCol w:w="2071"/>
      </w:tblGrid>
      <w:tr w:rsidR="00A0452C" w:rsidTr="008E2E18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2C" w:rsidRDefault="00A0452C" w:rsidP="00A0452C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2C" w:rsidRDefault="00A0452C" w:rsidP="00A0452C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2C" w:rsidRDefault="00A0452C" w:rsidP="00A0452C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2C" w:rsidRDefault="00A0452C" w:rsidP="00A0452C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2C" w:rsidRDefault="00A0452C" w:rsidP="00A0452C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A0452C" w:rsidTr="00BC6778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2C" w:rsidRDefault="00A0452C" w:rsidP="00BC6778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="00BC6778">
              <w:rPr>
                <w:sz w:val="24"/>
                <w:szCs w:val="24"/>
              </w:rPr>
              <w:t>«</w:t>
            </w:r>
            <w:r w:rsidR="00D12D24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>» - «Орелэнерго</w:t>
            </w:r>
            <w:r w:rsidR="00BC6778">
              <w:rPr>
                <w:sz w:val="24"/>
                <w:szCs w:val="24"/>
              </w:rPr>
              <w:t>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2C" w:rsidRDefault="00A0452C" w:rsidP="00BC6778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66"/>
            </w:tblGrid>
            <w:tr w:rsidR="00A0452C" w:rsidTr="00B70DCC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452C" w:rsidRDefault="00A0452C" w:rsidP="00BC6778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</w:t>
                  </w:r>
                  <w:r w:rsidR="00BC677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ул. Высоковольтная, 9, центральный склад филиала ПАО </w:t>
                  </w:r>
                  <w:r w:rsidR="00BC6778">
                    <w:rPr>
                      <w:sz w:val="24"/>
                      <w:szCs w:val="24"/>
                    </w:rPr>
                    <w:t>«</w:t>
                  </w:r>
                  <w:r w:rsidR="00D12D24">
                    <w:rPr>
                      <w:sz w:val="24"/>
                      <w:szCs w:val="24"/>
                    </w:rPr>
                    <w:t>Россети</w:t>
                  </w:r>
                  <w:r>
                    <w:rPr>
                      <w:sz w:val="24"/>
                      <w:szCs w:val="24"/>
                    </w:rPr>
                    <w:t xml:space="preserve"> Центр</w:t>
                  </w:r>
                  <w:r w:rsidR="00BC6778">
                    <w:rPr>
                      <w:sz w:val="24"/>
                      <w:szCs w:val="24"/>
                    </w:rPr>
                    <w:t xml:space="preserve">» </w:t>
                  </w:r>
                  <w:r>
                    <w:rPr>
                      <w:sz w:val="24"/>
                      <w:szCs w:val="24"/>
                    </w:rPr>
                    <w:t xml:space="preserve">- </w:t>
                  </w:r>
                  <w:r w:rsidR="00BC6778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Ор</w:t>
                  </w:r>
                  <w:r w:rsidR="00BC6778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лэнерго</w:t>
                  </w:r>
                  <w:r w:rsidR="00BC6778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A0452C" w:rsidRDefault="00A0452C" w:rsidP="00BC6778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A0452C" w:rsidTr="00B70DCC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452C" w:rsidRDefault="00A0452C" w:rsidP="00BC6778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</w:t>
                  </w:r>
                  <w:r w:rsidR="00332C48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10 календарных дней с момента подачи заявки</w:t>
                  </w:r>
                  <w:r w:rsidR="005F266B">
                    <w:rPr>
                      <w:sz w:val="24"/>
                      <w:szCs w:val="24"/>
                    </w:rPr>
                    <w:t xml:space="preserve"> от филиала, но не позднее </w:t>
                  </w:r>
                  <w:r w:rsidR="00BC6778">
                    <w:rPr>
                      <w:sz w:val="24"/>
                      <w:szCs w:val="24"/>
                    </w:rPr>
                    <w:t>30</w:t>
                  </w:r>
                  <w:r w:rsidR="005F266B">
                    <w:rPr>
                      <w:sz w:val="24"/>
                      <w:szCs w:val="24"/>
                    </w:rPr>
                    <w:t>.0</w:t>
                  </w:r>
                  <w:r w:rsidR="00BC6778">
                    <w:rPr>
                      <w:sz w:val="24"/>
                      <w:szCs w:val="24"/>
                    </w:rPr>
                    <w:t>8</w:t>
                  </w:r>
                  <w:r w:rsidR="005F266B">
                    <w:rPr>
                      <w:sz w:val="24"/>
                      <w:szCs w:val="24"/>
                    </w:rPr>
                    <w:t>.202</w:t>
                  </w:r>
                  <w:r w:rsidR="00BC6778">
                    <w:rPr>
                      <w:sz w:val="24"/>
                      <w:szCs w:val="24"/>
                    </w:rPr>
                    <w:t xml:space="preserve">2 </w:t>
                  </w:r>
                  <w:r w:rsidR="005F266B">
                    <w:rPr>
                      <w:sz w:val="24"/>
                      <w:szCs w:val="24"/>
                    </w:rPr>
                    <w:t>г.</w:t>
                  </w:r>
                </w:p>
              </w:tc>
            </w:tr>
          </w:tbl>
          <w:p w:rsidR="00A0452C" w:rsidRDefault="00A0452C" w:rsidP="00BC6778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2C" w:rsidRDefault="00BC6778" w:rsidP="00BC6778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452C">
              <w:rPr>
                <w:sz w:val="24"/>
                <w:szCs w:val="24"/>
              </w:rPr>
              <w:t xml:space="preserve"> шт</w:t>
            </w:r>
          </w:p>
        </w:tc>
      </w:tr>
    </w:tbl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7167B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4F4E9E" w:rsidP="007167B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A97A51" w:rsidRPr="00044AD9">
        <w:rPr>
          <w:sz w:val="24"/>
          <w:szCs w:val="24"/>
        </w:rPr>
        <w:t>значений,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93"/>
        <w:gridCol w:w="1913"/>
        <w:gridCol w:w="6423"/>
      </w:tblGrid>
      <w:tr w:rsidR="00153BF4" w:rsidRPr="007167B3" w:rsidTr="00A85BC1">
        <w:tc>
          <w:tcPr>
            <w:tcW w:w="2193" w:type="dxa"/>
          </w:tcPr>
          <w:p w:rsidR="0086485A" w:rsidRPr="007167B3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167B3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1913" w:type="dxa"/>
          </w:tcPr>
          <w:p w:rsidR="0086485A" w:rsidRPr="007167B3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167B3">
              <w:rPr>
                <w:sz w:val="24"/>
                <w:szCs w:val="24"/>
              </w:rPr>
              <w:t>ГОСТ / ТУ</w:t>
            </w:r>
          </w:p>
        </w:tc>
        <w:tc>
          <w:tcPr>
            <w:tcW w:w="6423" w:type="dxa"/>
          </w:tcPr>
          <w:p w:rsidR="0086485A" w:rsidRPr="007167B3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167B3">
              <w:rPr>
                <w:sz w:val="24"/>
                <w:szCs w:val="24"/>
              </w:rPr>
              <w:t>Цвет / характеристика</w:t>
            </w:r>
          </w:p>
        </w:tc>
      </w:tr>
      <w:tr w:rsidR="00F23AA0" w:rsidRPr="00153BF4" w:rsidTr="007167B3">
        <w:trPr>
          <w:trHeight w:val="3204"/>
        </w:trPr>
        <w:tc>
          <w:tcPr>
            <w:tcW w:w="2193" w:type="dxa"/>
            <w:vAlign w:val="center"/>
          </w:tcPr>
          <w:p w:rsidR="00F23AA0" w:rsidRPr="00A0452C" w:rsidRDefault="00A0452C" w:rsidP="007167B3">
            <w:pPr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A0452C">
              <w:rPr>
                <w:b/>
                <w:color w:val="000000"/>
                <w:sz w:val="28"/>
                <w:szCs w:val="28"/>
              </w:rPr>
              <w:t>Реле промежуточное РП-23 220В</w:t>
            </w:r>
          </w:p>
        </w:tc>
        <w:tc>
          <w:tcPr>
            <w:tcW w:w="1913" w:type="dxa"/>
          </w:tcPr>
          <w:p w:rsidR="00F23AA0" w:rsidRPr="00B91C73" w:rsidRDefault="00F23AA0" w:rsidP="007C2D80">
            <w:pPr>
              <w:pStyle w:val="formattext"/>
            </w:pPr>
          </w:p>
        </w:tc>
        <w:tc>
          <w:tcPr>
            <w:tcW w:w="6423" w:type="dxa"/>
          </w:tcPr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ТУ16-523.483-78 (или аналог)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Номинальное напряжение, В – 220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Род тока – постоянный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Количество и тип контактов – 4 замыкающих и 1 размыкающий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Климатическое исполнение – УХЛ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Категория размещения – 4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Габаритные размеры, мм, не более – 67х128х118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Масса, кг, не более – 1</w:t>
            </w:r>
          </w:p>
          <w:p w:rsidR="00A85BC1" w:rsidRPr="00A85BC1" w:rsidRDefault="00A85BC1" w:rsidP="00A85BC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A85BC1">
              <w:rPr>
                <w:rFonts w:eastAsia="TimesNewRomanPSMT"/>
                <w:sz w:val="24"/>
                <w:szCs w:val="24"/>
              </w:rPr>
              <w:t>Способ присоединения внешних проводов – переднее</w:t>
            </w:r>
          </w:p>
          <w:p w:rsidR="002E5589" w:rsidRPr="002E5589" w:rsidRDefault="00A85BC1" w:rsidP="00A85BC1">
            <w:pPr>
              <w:pStyle w:val="af3"/>
              <w:rPr>
                <w:sz w:val="24"/>
                <w:szCs w:val="24"/>
              </w:rPr>
            </w:pPr>
            <w:r w:rsidRPr="00A85BC1">
              <w:rPr>
                <w:rFonts w:ascii="Times New Roman" w:eastAsia="TimesNewRomanPSMT" w:hAnsi="Times New Roman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</w:tbl>
    <w:p w:rsidR="00E02A19" w:rsidRDefault="00E02A19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153BF4" w:rsidRPr="00153BF4" w:rsidRDefault="00153BF4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612811" w:rsidRPr="00044AD9" w:rsidRDefault="00612811" w:rsidP="007167B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612811" w:rsidP="007167B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lastRenderedPageBreak/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86485A" w:rsidRPr="007A1294" w:rsidRDefault="0086485A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7167B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167B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2E5589" w:rsidRPr="00044AD9" w:rsidRDefault="002E5589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Pr="007167B3" w:rsidRDefault="00EA00A8" w:rsidP="007167B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167B3" w:rsidRDefault="00732291" w:rsidP="007167B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7167B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 xml:space="preserve">остав технической и </w:t>
      </w:r>
      <w:r w:rsidR="00A97A51" w:rsidRPr="00044AD9">
        <w:rPr>
          <w:b/>
          <w:bCs/>
          <w:sz w:val="26"/>
          <w:szCs w:val="26"/>
        </w:rPr>
        <w:t>эксплуатационной документации</w:t>
      </w:r>
      <w:r w:rsidR="00612811" w:rsidRPr="00044AD9">
        <w:rPr>
          <w:b/>
          <w:bCs/>
          <w:sz w:val="26"/>
          <w:szCs w:val="26"/>
        </w:rPr>
        <w:t>.</w:t>
      </w:r>
    </w:p>
    <w:p w:rsidR="00BD7FD7" w:rsidRDefault="00BD7FD7" w:rsidP="009F4D02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9F4D02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7167B3" w:rsidRDefault="00612811" w:rsidP="007167B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3A131E" w:rsidRPr="008E2E18" w:rsidRDefault="00BD7FD7" w:rsidP="009F4D02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 xml:space="preserve"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</w:t>
      </w:r>
      <w:r w:rsidR="00612811" w:rsidRPr="008E2E18">
        <w:rPr>
          <w:sz w:val="24"/>
          <w:szCs w:val="24"/>
        </w:rPr>
        <w:t>В случае выявления дефектов, в том числе и скрытых</w:t>
      </w:r>
      <w:r w:rsidR="003A131E" w:rsidRPr="008E2E18">
        <w:rPr>
          <w:sz w:val="24"/>
          <w:szCs w:val="24"/>
        </w:rPr>
        <w:t>, поставщик обязан за свой счет заменить поставленную продукцию.</w:t>
      </w:r>
    </w:p>
    <w:p w:rsidR="003A131E" w:rsidRPr="008E2E18" w:rsidRDefault="003A131E" w:rsidP="009F4D02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r w:rsidR="008E2E18">
        <w:rPr>
          <w:sz w:val="24"/>
          <w:szCs w:val="24"/>
        </w:rPr>
        <w:t>Россети Центр</w:t>
      </w:r>
      <w:r w:rsidRPr="008E2E18">
        <w:rPr>
          <w:sz w:val="24"/>
          <w:szCs w:val="24"/>
        </w:rPr>
        <w:t>» и ответственными представителями Поставщика при получении оборудования на склад.</w:t>
      </w:r>
    </w:p>
    <w:p w:rsidR="003A1EBB" w:rsidRDefault="003A1EBB" w:rsidP="008E2E18">
      <w:pPr>
        <w:tabs>
          <w:tab w:val="left" w:pos="1560"/>
        </w:tabs>
        <w:ind w:firstLine="0"/>
        <w:rPr>
          <w:sz w:val="26"/>
          <w:szCs w:val="26"/>
        </w:rPr>
      </w:pPr>
      <w:r w:rsidRPr="004D1E84">
        <w:rPr>
          <w:sz w:val="26"/>
          <w:szCs w:val="26"/>
          <w:u w:val="single"/>
        </w:rPr>
        <w:t>Начальник СРЗАИ</w:t>
      </w:r>
      <w:r w:rsidR="008E2E18">
        <w:rPr>
          <w:sz w:val="26"/>
          <w:szCs w:val="26"/>
          <w:u w:val="single"/>
        </w:rPr>
        <w:t xml:space="preserve"> и </w:t>
      </w:r>
      <w:r w:rsidRPr="004D1E84">
        <w:rPr>
          <w:sz w:val="26"/>
          <w:szCs w:val="26"/>
          <w:u w:val="single"/>
        </w:rPr>
        <w:t>М</w:t>
      </w:r>
      <w:r>
        <w:rPr>
          <w:sz w:val="26"/>
          <w:szCs w:val="26"/>
        </w:rPr>
        <w:t xml:space="preserve">                    </w:t>
      </w:r>
      <w:bookmarkStart w:id="1" w:name="_GoBack"/>
      <w:bookmarkEnd w:id="1"/>
      <w:r w:rsidR="00A85BC1">
        <w:rPr>
          <w:sz w:val="26"/>
          <w:szCs w:val="26"/>
        </w:rPr>
        <w:t xml:space="preserve">         </w:t>
      </w:r>
      <w:r w:rsidR="008E2E18" w:rsidRPr="008E2E18">
        <w:rPr>
          <w:noProof/>
        </w:rPr>
        <w:t xml:space="preserve"> </w:t>
      </w:r>
      <w:r w:rsidRPr="004D1E84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 </w:t>
      </w:r>
      <w:r w:rsidR="008E2E18">
        <w:rPr>
          <w:sz w:val="26"/>
          <w:szCs w:val="26"/>
          <w:u w:val="single"/>
        </w:rPr>
        <w:t>Денисов И</w:t>
      </w:r>
      <w:r w:rsidRPr="004D1E84">
        <w:rPr>
          <w:sz w:val="26"/>
          <w:szCs w:val="26"/>
          <w:u w:val="single"/>
        </w:rPr>
        <w:t>.А.</w:t>
      </w:r>
    </w:p>
    <w:p w:rsidR="00BF3D63" w:rsidRPr="00F80C30" w:rsidRDefault="003A1EBB" w:rsidP="00F80C30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</w:t>
      </w:r>
    </w:p>
    <w:sectPr w:rsidR="00BF3D63" w:rsidRPr="00F80C30" w:rsidSect="00153BF4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C4A" w:rsidRDefault="009A2C4A">
      <w:r>
        <w:separator/>
      </w:r>
    </w:p>
  </w:endnote>
  <w:endnote w:type="continuationSeparator" w:id="0">
    <w:p w:rsidR="009A2C4A" w:rsidRDefault="009A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C4A" w:rsidRDefault="009A2C4A">
      <w:r>
        <w:separator/>
      </w:r>
    </w:p>
  </w:footnote>
  <w:footnote w:type="continuationSeparator" w:id="0">
    <w:p w:rsidR="009A2C4A" w:rsidRDefault="009A2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822BFD"/>
    <w:multiLevelType w:val="hybridMultilevel"/>
    <w:tmpl w:val="F102992E"/>
    <w:lvl w:ilvl="0" w:tplc="6D8E45E6">
      <w:start w:val="1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7231E5"/>
    <w:multiLevelType w:val="multilevel"/>
    <w:tmpl w:val="BA562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C554DE"/>
    <w:multiLevelType w:val="multilevel"/>
    <w:tmpl w:val="FBAC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DEC5857"/>
    <w:multiLevelType w:val="multilevel"/>
    <w:tmpl w:val="9FBC802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5033461"/>
    <w:multiLevelType w:val="multilevel"/>
    <w:tmpl w:val="69B2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5C32C3"/>
    <w:multiLevelType w:val="multilevel"/>
    <w:tmpl w:val="46E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272BB2"/>
    <w:multiLevelType w:val="multilevel"/>
    <w:tmpl w:val="144E6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5A7CF2"/>
    <w:multiLevelType w:val="multilevel"/>
    <w:tmpl w:val="4E2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E035C5"/>
    <w:multiLevelType w:val="multilevel"/>
    <w:tmpl w:val="F9AA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"/>
  </w:num>
  <w:num w:numId="5">
    <w:abstractNumId w:val="23"/>
  </w:num>
  <w:num w:numId="6">
    <w:abstractNumId w:val="6"/>
  </w:num>
  <w:num w:numId="7">
    <w:abstractNumId w:val="5"/>
  </w:num>
  <w:num w:numId="8">
    <w:abstractNumId w:val="3"/>
  </w:num>
  <w:num w:numId="9">
    <w:abstractNumId w:val="20"/>
  </w:num>
  <w:num w:numId="10">
    <w:abstractNumId w:val="12"/>
  </w:num>
  <w:num w:numId="11">
    <w:abstractNumId w:val="18"/>
  </w:num>
  <w:num w:numId="12">
    <w:abstractNumId w:val="15"/>
  </w:num>
  <w:num w:numId="13">
    <w:abstractNumId w:val="8"/>
  </w:num>
  <w:num w:numId="14">
    <w:abstractNumId w:val="4"/>
  </w:num>
  <w:num w:numId="15">
    <w:abstractNumId w:val="21"/>
  </w:num>
  <w:num w:numId="16">
    <w:abstractNumId w:val="14"/>
  </w:num>
  <w:num w:numId="17">
    <w:abstractNumId w:val="16"/>
  </w:num>
  <w:num w:numId="18">
    <w:abstractNumId w:val="9"/>
  </w:num>
  <w:num w:numId="19">
    <w:abstractNumId w:val="11"/>
  </w:num>
  <w:num w:numId="20">
    <w:abstractNumId w:val="22"/>
  </w:num>
  <w:num w:numId="21">
    <w:abstractNumId w:val="19"/>
  </w:num>
  <w:num w:numId="22">
    <w:abstractNumId w:val="7"/>
  </w:num>
  <w:num w:numId="2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022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7E1"/>
    <w:rsid w:val="00071958"/>
    <w:rsid w:val="00076F2D"/>
    <w:rsid w:val="000808BE"/>
    <w:rsid w:val="00081242"/>
    <w:rsid w:val="00084847"/>
    <w:rsid w:val="00084AA3"/>
    <w:rsid w:val="000858AE"/>
    <w:rsid w:val="00085DAC"/>
    <w:rsid w:val="00094AC3"/>
    <w:rsid w:val="000961A3"/>
    <w:rsid w:val="000A00E7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4554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66F2"/>
    <w:rsid w:val="001D0A85"/>
    <w:rsid w:val="001D2559"/>
    <w:rsid w:val="001D4FA4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29D6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069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589"/>
    <w:rsid w:val="002E5670"/>
    <w:rsid w:val="002E5A8D"/>
    <w:rsid w:val="002E602B"/>
    <w:rsid w:val="002E63DE"/>
    <w:rsid w:val="002E6C8A"/>
    <w:rsid w:val="002F0534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32C48"/>
    <w:rsid w:val="00337A7C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9FD"/>
    <w:rsid w:val="00370C33"/>
    <w:rsid w:val="003735E0"/>
    <w:rsid w:val="0037514A"/>
    <w:rsid w:val="00375192"/>
    <w:rsid w:val="00375440"/>
    <w:rsid w:val="00375CA2"/>
    <w:rsid w:val="003763A6"/>
    <w:rsid w:val="00376B78"/>
    <w:rsid w:val="0038225E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045C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386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4F78FB"/>
    <w:rsid w:val="00505047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30A8"/>
    <w:rsid w:val="00567CD4"/>
    <w:rsid w:val="005704AF"/>
    <w:rsid w:val="0057500D"/>
    <w:rsid w:val="005760DC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66B"/>
    <w:rsid w:val="005F2F38"/>
    <w:rsid w:val="005F3643"/>
    <w:rsid w:val="005F4511"/>
    <w:rsid w:val="005F7A1F"/>
    <w:rsid w:val="006004FC"/>
    <w:rsid w:val="006018D7"/>
    <w:rsid w:val="00602410"/>
    <w:rsid w:val="00602964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3DA3"/>
    <w:rsid w:val="00644676"/>
    <w:rsid w:val="006459FD"/>
    <w:rsid w:val="006468BC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75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5174"/>
    <w:rsid w:val="006C67C6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1A"/>
    <w:rsid w:val="007115BC"/>
    <w:rsid w:val="0071327A"/>
    <w:rsid w:val="0071533A"/>
    <w:rsid w:val="00716496"/>
    <w:rsid w:val="00716719"/>
    <w:rsid w:val="007167B3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38AC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0E29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2C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4B5"/>
    <w:rsid w:val="00811566"/>
    <w:rsid w:val="00811C60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0BEE"/>
    <w:rsid w:val="00840D45"/>
    <w:rsid w:val="00841EA2"/>
    <w:rsid w:val="00842C0C"/>
    <w:rsid w:val="008433F9"/>
    <w:rsid w:val="00843B4D"/>
    <w:rsid w:val="0084454B"/>
    <w:rsid w:val="00847675"/>
    <w:rsid w:val="00847926"/>
    <w:rsid w:val="00850154"/>
    <w:rsid w:val="00851AF1"/>
    <w:rsid w:val="00851FA6"/>
    <w:rsid w:val="00852686"/>
    <w:rsid w:val="00853BF9"/>
    <w:rsid w:val="008546A6"/>
    <w:rsid w:val="008574C3"/>
    <w:rsid w:val="00857D4B"/>
    <w:rsid w:val="0086167B"/>
    <w:rsid w:val="0086485A"/>
    <w:rsid w:val="00865432"/>
    <w:rsid w:val="00865492"/>
    <w:rsid w:val="008667B2"/>
    <w:rsid w:val="0087122F"/>
    <w:rsid w:val="00871513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B4BCB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2E18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14E8"/>
    <w:rsid w:val="009022A6"/>
    <w:rsid w:val="009039EB"/>
    <w:rsid w:val="0090704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61D2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C4A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08B8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D02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52C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CB8"/>
    <w:rsid w:val="00A40BAC"/>
    <w:rsid w:val="00A420E1"/>
    <w:rsid w:val="00A43D43"/>
    <w:rsid w:val="00A501FF"/>
    <w:rsid w:val="00A50F37"/>
    <w:rsid w:val="00A510EB"/>
    <w:rsid w:val="00A515A6"/>
    <w:rsid w:val="00A52E9C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5BC1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A51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AF7"/>
    <w:rsid w:val="00AE1B50"/>
    <w:rsid w:val="00AE1BB9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4059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2E2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6778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D15"/>
    <w:rsid w:val="00C25783"/>
    <w:rsid w:val="00C25DF4"/>
    <w:rsid w:val="00C33C85"/>
    <w:rsid w:val="00C351A7"/>
    <w:rsid w:val="00C3560E"/>
    <w:rsid w:val="00C35F06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CC4"/>
    <w:rsid w:val="00C947B3"/>
    <w:rsid w:val="00C94BA4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5F43"/>
    <w:rsid w:val="00CE6EB5"/>
    <w:rsid w:val="00CE7F70"/>
    <w:rsid w:val="00CF0E1A"/>
    <w:rsid w:val="00CF22E0"/>
    <w:rsid w:val="00CF4176"/>
    <w:rsid w:val="00CF4CCC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2D24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161A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9DC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33F1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DCC"/>
    <w:rsid w:val="00F10010"/>
    <w:rsid w:val="00F128C1"/>
    <w:rsid w:val="00F135C1"/>
    <w:rsid w:val="00F16D07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6EC3"/>
    <w:rsid w:val="00F97B5B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55499D-594F-455C-B9E5-4DEAB6D0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9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fo-blockchars-list-item-value">
    <w:name w:val="info-block__chars-list-item-value"/>
    <w:basedOn w:val="a1"/>
    <w:rsid w:val="00A97A51"/>
  </w:style>
  <w:style w:type="paragraph" w:styleId="af7">
    <w:name w:val="Title"/>
    <w:basedOn w:val="a0"/>
    <w:link w:val="af8"/>
    <w:qFormat/>
    <w:rsid w:val="00A0452C"/>
    <w:pPr>
      <w:spacing w:line="360" w:lineRule="auto"/>
      <w:ind w:firstLine="0"/>
      <w:jc w:val="center"/>
    </w:pPr>
    <w:rPr>
      <w:b/>
    </w:rPr>
  </w:style>
  <w:style w:type="character" w:customStyle="1" w:styleId="af8">
    <w:name w:val="Заголовок Знак"/>
    <w:basedOn w:val="a1"/>
    <w:link w:val="af7"/>
    <w:rsid w:val="00A0452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8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4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aeb3e8e0-784a-4348-b8a9-74d788c4fa59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BACAE6-DF9B-4DB8-B762-36709BA6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11</cp:revision>
  <cp:lastPrinted>2022-02-16T06:13:00Z</cp:lastPrinted>
  <dcterms:created xsi:type="dcterms:W3CDTF">2022-02-08T10:24:00Z</dcterms:created>
  <dcterms:modified xsi:type="dcterms:W3CDTF">2022-03-02T07:39:00Z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