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2DA37963" w:rsidR="00F34E54" w:rsidRPr="008153AD" w:rsidRDefault="00F34E54" w:rsidP="00F34E54">
      <w:pPr>
        <w:ind w:left="6804"/>
        <w:rPr>
          <w:b/>
          <w:kern w:val="36"/>
        </w:rPr>
      </w:pPr>
      <w:r w:rsidRPr="008153AD">
        <w:rPr>
          <w:b/>
          <w:kern w:val="36"/>
        </w:rPr>
        <w:t>Протокол №</w:t>
      </w:r>
      <w:r w:rsidR="00E14E1B">
        <w:rPr>
          <w:b/>
          <w:kern w:val="36"/>
        </w:rPr>
        <w:t>0031</w:t>
      </w:r>
      <w:r w:rsidR="00E30CE1">
        <w:rPr>
          <w:b/>
          <w:kern w:val="36"/>
        </w:rPr>
        <w:t>-ЯР-22</w:t>
      </w:r>
      <w:r w:rsidRPr="008153AD">
        <w:rPr>
          <w:b/>
          <w:kern w:val="36"/>
        </w:rPr>
        <w:t xml:space="preserve"> </w:t>
      </w:r>
    </w:p>
    <w:p w14:paraId="339BA46E" w14:textId="375FBDEA" w:rsidR="00F34E54" w:rsidRPr="008153AD" w:rsidRDefault="00F34E54" w:rsidP="00F34E54">
      <w:pPr>
        <w:snapToGrid w:val="0"/>
        <w:ind w:left="6804"/>
        <w:jc w:val="left"/>
        <w:rPr>
          <w:bCs/>
          <w:color w:val="000000"/>
        </w:rPr>
      </w:pPr>
      <w:r w:rsidRPr="008153AD">
        <w:rPr>
          <w:b/>
          <w:kern w:val="36"/>
        </w:rPr>
        <w:t xml:space="preserve">от </w:t>
      </w:r>
      <w:r w:rsidR="00E14E1B">
        <w:rPr>
          <w:b/>
          <w:noProof/>
          <w:kern w:val="36"/>
        </w:rPr>
        <w:t>«21</w:t>
      </w:r>
      <w:r>
        <w:rPr>
          <w:b/>
          <w:noProof/>
          <w:kern w:val="36"/>
        </w:rPr>
        <w:t>»</w:t>
      </w:r>
      <w:r w:rsidR="004E355C">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2E15529"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E14E1B">
        <w:rPr>
          <w:bCs/>
        </w:rPr>
        <w:t xml:space="preserve"> поставку </w:t>
      </w:r>
      <w:r w:rsidR="00E14E1B" w:rsidRPr="00E14E1B">
        <w:rPr>
          <w:bCs/>
        </w:rPr>
        <w:t>троса грозозащитного, каната метал.</w:t>
      </w:r>
      <w:r w:rsidR="00E14E1B">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E14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E14E1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E14E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E14E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0ADE9387"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E14E1B" w:rsidRPr="00E14E1B">
              <w:t>троса грозозащитного, каната метал.</w:t>
            </w:r>
            <w:r w:rsidR="00E14E1B">
              <w:t xml:space="preserve">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7443C2DA" w:rsidR="00E30CE1" w:rsidRPr="00E30CE1" w:rsidRDefault="00D04296" w:rsidP="00E30CE1">
            <w:pPr>
              <w:widowControl w:val="0"/>
              <w:autoSpaceDE w:val="0"/>
              <w:autoSpaceDN w:val="0"/>
              <w:adjustRightInd w:val="0"/>
              <w:spacing w:after="120"/>
              <w:ind w:right="176"/>
            </w:pPr>
            <w:r w:rsidRPr="00D04296">
              <w:t xml:space="preserve"> Сроки поставки:</w:t>
            </w:r>
            <w:r w:rsidR="004E355C" w:rsidRPr="004E355C">
              <w:t xml:space="preserve"> не позднее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67178" w14:textId="0B764C8E" w:rsidR="004E355C" w:rsidRPr="004E355C" w:rsidRDefault="00A563D9" w:rsidP="004E355C">
            <w:pPr>
              <w:widowControl w:val="0"/>
              <w:tabs>
                <w:tab w:val="num" w:pos="1620"/>
              </w:tabs>
              <w:ind w:left="209" w:right="176"/>
              <w:rPr>
                <w:b/>
                <w:bCs/>
              </w:rPr>
            </w:pPr>
            <w:r w:rsidRPr="00254D61">
              <w:rPr>
                <w:b/>
                <w:u w:val="single"/>
              </w:rPr>
              <w:t>По Лоту №1:</w:t>
            </w:r>
            <w:r w:rsidR="00F34E54" w:rsidRPr="00254D61">
              <w:rPr>
                <w:b/>
              </w:rPr>
              <w:t xml:space="preserve"> </w:t>
            </w:r>
            <w:r w:rsidR="00E14E1B" w:rsidRPr="00E14E1B">
              <w:rPr>
                <w:b/>
                <w:bCs/>
              </w:rPr>
              <w:t>836 106,00 (</w:t>
            </w:r>
            <w:r w:rsidR="00E14E1B" w:rsidRPr="00E14E1B">
              <w:rPr>
                <w:b/>
              </w:rPr>
              <w:t>восемьсот тридц</w:t>
            </w:r>
            <w:r w:rsidR="00E14E1B" w:rsidRPr="00E14E1B">
              <w:rPr>
                <w:b/>
                <w:bCs/>
              </w:rPr>
              <w:t xml:space="preserve">ать шесть тысяч сто шесть) </w:t>
            </w:r>
            <w:r w:rsidR="00E14E1B" w:rsidRPr="00E14E1B">
              <w:rPr>
                <w:b/>
              </w:rPr>
              <w:t>рублей 00 копеек РФ, без учета НДС; НДС составляет 167621,20 (сто шестьдесят семь тысяч шестьсот двадцать один) рубль 00 копеек РФ; 1 005 727,20 (один миллион пять тысяч семьсот двадцать семь) рублей 00 копеек РФ, с учетом НДС</w:t>
            </w:r>
          </w:p>
          <w:p w14:paraId="5C46DBDD" w14:textId="66972805" w:rsidR="00D04296" w:rsidRPr="00D04296" w:rsidRDefault="00D04296" w:rsidP="00D04296">
            <w:pPr>
              <w:widowControl w:val="0"/>
              <w:tabs>
                <w:tab w:val="num" w:pos="1620"/>
              </w:tabs>
              <w:ind w:left="209" w:right="176"/>
              <w:rPr>
                <w:rFonts w:eastAsia="Calibri"/>
                <w:bCs/>
                <w:lang w:eastAsia="en-US"/>
              </w:rPr>
            </w:pP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A8542F0"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14E1B">
              <w:rPr>
                <w:b/>
                <w:bCs/>
                <w:highlight w:val="yellow"/>
              </w:rPr>
              <w:t>21</w:t>
            </w:r>
            <w:r w:rsidR="004E355C">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5" w:name="_Ref762965"/>
            <w:r w:rsidRPr="006C0AA9">
              <w:t>Дата и время окончания срока, последний день срока подачи Заявок:</w:t>
            </w:r>
            <w:bookmarkEnd w:id="345"/>
          </w:p>
          <w:p w14:paraId="5D3035DE" w14:textId="0B803D80" w:rsidR="00562DB8" w:rsidRPr="006C0AA9" w:rsidRDefault="00E14E1B" w:rsidP="00166099">
            <w:pPr>
              <w:widowControl w:val="0"/>
              <w:tabs>
                <w:tab w:val="left" w:pos="0"/>
              </w:tabs>
              <w:spacing w:after="0" w:line="264" w:lineRule="auto"/>
              <w:ind w:left="1134" w:right="175"/>
            </w:pPr>
            <w:r>
              <w:rPr>
                <w:b/>
                <w:highlight w:val="yellow"/>
              </w:rPr>
              <w:t>29</w:t>
            </w:r>
            <w:r w:rsidR="004E355C">
              <w:rPr>
                <w:b/>
                <w:highlight w:val="yellow"/>
              </w:rPr>
              <w:t xml:space="preserve"> марта</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AAE12F"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E14E1B">
              <w:rPr>
                <w:b/>
                <w:color w:val="auto"/>
                <w:highlight w:val="yellow"/>
              </w:rPr>
              <w:t>05</w:t>
            </w:r>
            <w:r w:rsidR="004E355C">
              <w:rPr>
                <w:b/>
                <w:color w:val="auto"/>
                <w:highlight w:val="yellow"/>
              </w:rPr>
              <w:t xml:space="preserve"> апреля</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CAFF25F"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14E1B">
              <w:rPr>
                <w:b/>
                <w:highlight w:val="yellow"/>
              </w:rPr>
              <w:t>08</w:t>
            </w:r>
            <w:bookmarkStart w:id="346" w:name="_GoBack"/>
            <w:bookmarkEnd w:id="346"/>
            <w:r w:rsidR="004E355C">
              <w:rPr>
                <w:b/>
                <w:highlight w:val="yellow"/>
              </w:rPr>
              <w:t xml:space="preserve"> апреля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92D0BB"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4E355C">
              <w:rPr>
                <w:b/>
                <w:highlight w:val="yellow"/>
              </w:rPr>
              <w:t>23 марта</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w:t>
            </w:r>
            <w:r w:rsidRPr="00165D05">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lastRenderedPageBreak/>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 xml:space="preserve">Справку о перечне и объемах выполнения аналогичных договоров </w:t>
            </w:r>
            <w:r w:rsidRPr="006414C7">
              <w:lastRenderedPageBreak/>
              <w:t>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w:t>
            </w:r>
            <w:r w:rsidRPr="005D19F9">
              <w:rPr>
                <w:highlight w:val="green"/>
              </w:rPr>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 xml:space="preserve">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0D4E1" w14:textId="77777777" w:rsidR="00EF472C" w:rsidRDefault="00EF472C">
      <w:r>
        <w:separator/>
      </w:r>
    </w:p>
    <w:p w14:paraId="11037CB4" w14:textId="77777777" w:rsidR="00EF472C" w:rsidRDefault="00EF472C"/>
  </w:endnote>
  <w:endnote w:type="continuationSeparator" w:id="0">
    <w:p w14:paraId="512DEE60" w14:textId="77777777" w:rsidR="00EF472C" w:rsidRDefault="00EF472C">
      <w:r>
        <w:continuationSeparator/>
      </w:r>
    </w:p>
    <w:p w14:paraId="6A1EC42C" w14:textId="77777777" w:rsidR="00EF472C" w:rsidRDefault="00EF472C"/>
  </w:endnote>
  <w:endnote w:type="continuationNotice" w:id="1">
    <w:p w14:paraId="197F5A16" w14:textId="77777777" w:rsidR="00EF472C" w:rsidRDefault="00EF47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14E1B" w:rsidRPr="00FA0376" w:rsidRDefault="00E14E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14E1B" w:rsidRPr="00902488" w:rsidRDefault="00E14E1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E14E1B" w:rsidRPr="00F34E54" w:rsidRDefault="00E14E1B"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F1038B">
              <w:rPr>
                <w:bCs/>
                <w:noProof/>
                <w:sz w:val="16"/>
                <w:szCs w:val="16"/>
              </w:rPr>
              <w:t>34</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F1038B">
              <w:rPr>
                <w:bCs/>
                <w:noProof/>
                <w:sz w:val="16"/>
                <w:szCs w:val="16"/>
              </w:rPr>
              <w:t>48</w:t>
            </w:r>
            <w:r w:rsidRPr="00F34E54">
              <w:rPr>
                <w:bCs/>
                <w:sz w:val="16"/>
                <w:szCs w:val="16"/>
              </w:rPr>
              <w:fldChar w:fldCharType="end"/>
            </w:r>
          </w:p>
          <w:p w14:paraId="05EE1B3B" w14:textId="0ABF9C66" w:rsidR="00E14E1B" w:rsidRPr="00F34E54" w:rsidRDefault="00E14E1B"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14D2AD21" w:rsidR="00E14E1B" w:rsidRPr="006036F4" w:rsidRDefault="00E14E1B" w:rsidP="006036F4">
            <w:pPr>
              <w:pStyle w:val="afe"/>
              <w:ind w:left="1134" w:right="1274"/>
              <w:rPr>
                <w:b/>
                <w:bCs/>
                <w:sz w:val="16"/>
                <w:szCs w:val="16"/>
              </w:rPr>
            </w:pPr>
            <w:r w:rsidRPr="00F34E54">
              <w:rPr>
                <w:bCs/>
                <w:sz w:val="16"/>
                <w:szCs w:val="16"/>
              </w:rPr>
              <w:t xml:space="preserve"> на право заключения </w:t>
            </w:r>
            <w:r w:rsidRPr="00E14E1B">
              <w:rPr>
                <w:sz w:val="16"/>
                <w:szCs w:val="16"/>
              </w:rPr>
              <w:t>Договора на</w:t>
            </w:r>
            <w:r w:rsidRPr="00E14E1B">
              <w:rPr>
                <w:bCs/>
                <w:sz w:val="16"/>
                <w:szCs w:val="16"/>
              </w:rPr>
              <w:t xml:space="preserve"> поставку</w:t>
            </w:r>
            <w:r w:rsidRPr="00E14E1B">
              <w:rPr>
                <w:sz w:val="16"/>
                <w:szCs w:val="16"/>
              </w:rPr>
              <w:t xml:space="preserve"> </w:t>
            </w:r>
            <w:r w:rsidRPr="00E14E1B">
              <w:rPr>
                <w:bCs/>
                <w:sz w:val="16"/>
                <w:szCs w:val="16"/>
              </w:rPr>
              <w:t>троса грозозащитного, каната метал. для нужд филиала ПАО "Россети" - "Ярэнерго".</w:t>
            </w:r>
          </w:p>
          <w:p w14:paraId="3D6F8C6C" w14:textId="5887E196" w:rsidR="00E14E1B" w:rsidRPr="00401A97" w:rsidRDefault="00E14E1B"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5DDAE" w14:textId="77777777" w:rsidR="00EF472C" w:rsidRDefault="00EF472C">
      <w:r>
        <w:separator/>
      </w:r>
    </w:p>
    <w:p w14:paraId="2A4627E4" w14:textId="77777777" w:rsidR="00EF472C" w:rsidRDefault="00EF472C"/>
  </w:footnote>
  <w:footnote w:type="continuationSeparator" w:id="0">
    <w:p w14:paraId="079368C0" w14:textId="77777777" w:rsidR="00EF472C" w:rsidRDefault="00EF472C">
      <w:r>
        <w:continuationSeparator/>
      </w:r>
    </w:p>
    <w:p w14:paraId="3D263B88" w14:textId="77777777" w:rsidR="00EF472C" w:rsidRDefault="00EF472C"/>
  </w:footnote>
  <w:footnote w:type="continuationNotice" w:id="1">
    <w:p w14:paraId="266425B9" w14:textId="77777777" w:rsidR="00EF472C" w:rsidRDefault="00EF472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14E1B" w:rsidRPr="00401A97" w:rsidRDefault="00E14E1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14E1B" w:rsidRPr="003C47E7" w:rsidRDefault="00E14E1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43E"/>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355C"/>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E1B"/>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72C"/>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38B"/>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7E9402-E571-492A-A77B-7C50BB73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48</Pages>
  <Words>19040</Words>
  <Characters>108531</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23</cp:revision>
  <cp:lastPrinted>2019-01-16T10:14:00Z</cp:lastPrinted>
  <dcterms:created xsi:type="dcterms:W3CDTF">2021-08-17T06:47:00Z</dcterms:created>
  <dcterms:modified xsi:type="dcterms:W3CDTF">2022-03-21T06:26:00Z</dcterms:modified>
</cp:coreProperties>
</file>