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53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26327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E275C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53" w:rsidRDefault="00C4785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E275C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53" w:rsidRDefault="00E275C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53" w:rsidRDefault="00E275C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53" w:rsidRDefault="00E275C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53" w:rsidRDefault="00C47853">
      <w:pPr>
        <w:contextualSpacing/>
      </w:pPr>
    </w:p>
    <w:p w:rsidR="00C47853" w:rsidRDefault="00E275C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53" w:rsidRDefault="00E275C9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«МРСК Центра»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 xml:space="preserve">договора </w:t>
      </w:r>
      <w:r>
        <w:t xml:space="preserve">на </w:t>
      </w:r>
      <w:r w:rsidR="00101B04">
        <w:t>о</w:t>
      </w:r>
      <w:r w:rsidR="00101B04" w:rsidRPr="00101B04">
        <w:t xml:space="preserve">казание услуг по проверке и обслуживанию приборов безопасности ГПМ </w:t>
      </w:r>
      <w:r>
        <w:t>для нужд филиала ПАО "Россети Центр"-"Ярэнерго</w:t>
      </w:r>
      <w:r w:rsidR="009E2D08">
        <w:t>»</w:t>
      </w:r>
      <w:r>
        <w:t xml:space="preserve">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946"/>
      </w:tblGrid>
      <w:tr w:rsidR="00C47853">
        <w:trPr>
          <w:trHeight w:val="611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53">
        <w:trPr>
          <w:trHeight w:val="200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53" w:rsidRDefault="00E275C9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53" w:rsidRDefault="00C47853">
            <w:pPr>
              <w:widowControl w:val="0"/>
              <w:ind w:right="175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53">
        <w:trPr>
          <w:trHeight w:val="557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C47853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387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  <w:rPr>
                <w:b/>
              </w:rPr>
            </w:pPr>
            <w:r>
              <w:t xml:space="preserve">Участвовать в запросе предложений может любое юридическое лицо, </w:t>
            </w:r>
            <w:r>
              <w:rPr>
                <w:bCs/>
              </w:rPr>
              <w:t xml:space="preserve">индивидуальный предприниматель, коллективный участник, </w:t>
            </w:r>
            <w:r>
              <w:rPr>
                <w:b/>
                <w:bCs/>
              </w:rPr>
              <w:t>являющиеся субъектами малого или среднего предпринимательства</w:t>
            </w:r>
          </w:p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 xml:space="preserve">Более подробно требования к Участникам, а также требования к порядку подтверждения соответствия этим </w:t>
            </w:r>
            <w:r>
              <w:lastRenderedPageBreak/>
              <w:t>требованиям, содержатся в документации о закупке.</w:t>
            </w:r>
          </w:p>
        </w:tc>
      </w:tr>
      <w:tr w:rsidR="00C47853">
        <w:trPr>
          <w:trHeight w:val="1128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101B04">
              <w:t>о</w:t>
            </w:r>
            <w:r w:rsidR="00101B04" w:rsidRPr="00101B04">
              <w:t xml:space="preserve">казание услуг по проверке и обслуживанию приборов безопасности ГПМ </w:t>
            </w:r>
            <w:r>
              <w:t>для нужд филиала ПАО "Россети Центр"-"Ярэнерго» расположенного по адресу: РФ, 150003, г. Ярославль, ул. Воинова, д. 12)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53" w:rsidRDefault="00E275C9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 работ не допускается.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53">
        <w:trPr>
          <w:trHeight w:val="69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</w:pPr>
          </w:p>
          <w:p w:rsidR="001E1B68" w:rsidRDefault="00E275C9">
            <w:pPr>
              <w:widowControl w:val="0"/>
              <w:spacing w:after="120"/>
              <w:ind w:left="209" w:right="176"/>
              <w:jc w:val="both"/>
            </w:pPr>
            <w:r>
              <w:t xml:space="preserve">Сроки оказания услуг: </w:t>
            </w:r>
            <w:r w:rsidR="00101B04">
              <w:t>с момента подписания договора до 31.12.2023</w:t>
            </w:r>
            <w:r w:rsidR="001E1B68">
              <w:t>.</w:t>
            </w:r>
          </w:p>
          <w:p w:rsidR="00101B04" w:rsidRDefault="001E1B68">
            <w:pPr>
              <w:widowControl w:val="0"/>
              <w:spacing w:after="120"/>
              <w:ind w:left="209" w:right="176"/>
              <w:jc w:val="both"/>
            </w:pPr>
            <w:bookmarkStart w:id="0" w:name="_GoBack"/>
            <w:bookmarkEnd w:id="0"/>
            <w:r w:rsidRPr="001E1B68">
              <w:t>Проверка и обслуживание приборов безопасности ГПМ производится в течение 2023 года согласно заявкам, предоставленных сотрудниками СМиТ филиала ПАО «Россети Центр» - «Ярэнерго». Сроки отдельного ГПМ согласовываются с представителями СМиТ филиала ПАО «Россети Центр» - «Ярэнерго» и не должны превышать 2 дня с момента принятия на обслуживание.</w:t>
            </w:r>
          </w:p>
          <w:p w:rsidR="00C47853" w:rsidRDefault="00E275C9">
            <w:pPr>
              <w:widowControl w:val="0"/>
              <w:spacing w:after="120"/>
              <w:ind w:left="209" w:right="176"/>
              <w:jc w:val="both"/>
            </w:pPr>
            <w:r>
              <w:t>Выполнение услуг  Участником будет осуществляться на  объекты, указанных в Приложении №1 настоящей Документации.</w:t>
            </w:r>
          </w:p>
          <w:p w:rsidR="00C47853" w:rsidRDefault="00C47853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t>ОБЩЕЕ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Times12"/>
              <w:tabs>
                <w:tab w:val="left" w:pos="1026"/>
              </w:tabs>
              <w:ind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101B04" w:rsidRPr="00101B04">
              <w:rPr>
                <w:b/>
                <w:bCs w:val="0"/>
                <w:szCs w:val="24"/>
              </w:rPr>
              <w:t>1 652 000,00</w:t>
            </w:r>
            <w:r w:rsidR="00101B04">
              <w:rPr>
                <w:bCs w:val="0"/>
                <w:szCs w:val="24"/>
              </w:rPr>
              <w:t xml:space="preserve"> </w:t>
            </w:r>
            <w:r>
              <w:t>(</w:t>
            </w:r>
            <w:r w:rsidR="00101B04" w:rsidRPr="00101B04">
              <w:t>один миллион шест</w:t>
            </w:r>
            <w:r w:rsidR="00101B04">
              <w:t>ьсот пятьдесят две тысячи</w:t>
            </w:r>
            <w:r>
              <w:t xml:space="preserve">) рублей 00 копеек РФ, без учета НДС; НДС составляет  </w:t>
            </w:r>
            <w:r w:rsidR="00101B04" w:rsidRPr="00101B04">
              <w:rPr>
                <w:b/>
              </w:rPr>
              <w:t>330 400,00</w:t>
            </w:r>
            <w:r w:rsidR="00101B04">
              <w:t xml:space="preserve"> </w:t>
            </w:r>
            <w:r>
              <w:t>(</w:t>
            </w:r>
            <w:r w:rsidR="00101B04" w:rsidRPr="00101B04">
              <w:t>триста</w:t>
            </w:r>
            <w:r w:rsidR="00101B04">
              <w:t xml:space="preserve"> тридцать тысяч четыреста</w:t>
            </w:r>
            <w:r>
              <w:t>) рублей 00 копеек РФ;</w:t>
            </w:r>
            <w:r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101B04" w:rsidRPr="00101B04">
              <w:rPr>
                <w:rFonts w:eastAsia="Calibri"/>
                <w:b/>
                <w:bCs w:val="0"/>
                <w:szCs w:val="24"/>
                <w:lang w:eastAsia="en-US"/>
              </w:rPr>
              <w:t>1 982 400,00</w:t>
            </w:r>
            <w:r w:rsidR="00101B04"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>
              <w:t>(</w:t>
            </w:r>
            <w:r w:rsidR="00101B04" w:rsidRPr="00101B04">
              <w:t>один миллион девятьсот восемьд</w:t>
            </w:r>
            <w:r w:rsidR="00101B04">
              <w:t>есят две тысячи четыреста</w:t>
            </w:r>
            <w:r>
              <w:t>) рублей  00 копеек РФ, с учетом НДС.</w:t>
            </w:r>
          </w:p>
          <w:p w:rsidR="00C47853" w:rsidRDefault="00C4785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53" w:rsidRDefault="00C47853">
            <w:pPr>
              <w:pStyle w:val="a0"/>
              <w:widowControl w:val="0"/>
              <w:numPr>
                <w:ilvl w:val="0"/>
                <w:numId w:val="0"/>
              </w:numPr>
              <w:spacing w:line="240" w:lineRule="auto"/>
              <w:ind w:left="209" w:right="176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  <w:b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jc w:val="both"/>
            </w:pPr>
            <w:r>
              <w:t xml:space="preserve"> </w:t>
            </w:r>
            <w:r>
              <w:rPr>
                <w:b/>
              </w:rPr>
              <w:t xml:space="preserve">Сумма единиц </w:t>
            </w:r>
            <w:r>
              <w:rPr>
                <w:b/>
                <w:bCs/>
              </w:rPr>
              <w:t xml:space="preserve">расценок </w:t>
            </w:r>
            <w:r>
              <w:rPr>
                <w:b/>
              </w:rPr>
              <w:t xml:space="preserve">составляет: </w:t>
            </w:r>
            <w:r w:rsidR="00101B04">
              <w:rPr>
                <w:b/>
              </w:rPr>
              <w:t xml:space="preserve">28 370,00 </w:t>
            </w:r>
            <w:r>
              <w:t>(</w:t>
            </w:r>
            <w:r w:rsidR="00101B04" w:rsidRPr="00101B04">
              <w:t>двадцать восе</w:t>
            </w:r>
            <w:r w:rsidR="00211224">
              <w:t>мь тысяч триста семьдесят</w:t>
            </w:r>
            <w:r>
              <w:t xml:space="preserve">) рублей 00 копеек РФ, без учета НДС; НДС составляет </w:t>
            </w:r>
            <w:r>
              <w:rPr>
                <w:b/>
              </w:rPr>
              <w:t xml:space="preserve"> </w:t>
            </w:r>
            <w:r w:rsidR="00211224">
              <w:rPr>
                <w:b/>
              </w:rPr>
              <w:t xml:space="preserve">5 674,00 </w:t>
            </w:r>
            <w:r>
              <w:t>(</w:t>
            </w:r>
            <w:r w:rsidR="00211224" w:rsidRPr="00211224">
              <w:t>пять тысяч</w:t>
            </w:r>
            <w:r w:rsidR="00211224">
              <w:t xml:space="preserve"> шестьсот семьдесят четыре) рубля</w:t>
            </w:r>
            <w:r>
              <w:t xml:space="preserve"> 00 копеек РФ;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="00211224">
              <w:rPr>
                <w:rFonts w:eastAsia="Calibri"/>
                <w:b/>
                <w:bCs/>
                <w:lang w:eastAsia="en-US"/>
              </w:rPr>
              <w:t>34 044,00</w:t>
            </w:r>
            <w:r w:rsidR="00D24515">
              <w:rPr>
                <w:rFonts w:eastAsia="Calibri"/>
                <w:b/>
                <w:bCs/>
                <w:lang w:eastAsia="en-US"/>
              </w:rPr>
              <w:t xml:space="preserve"> </w:t>
            </w:r>
            <w:r>
              <w:t>(</w:t>
            </w:r>
            <w:r w:rsidR="00211224" w:rsidRPr="00211224">
              <w:t xml:space="preserve">тридцать </w:t>
            </w:r>
            <w:r w:rsidR="00211224">
              <w:t>четыре тысячи сорок четыре) рубля</w:t>
            </w:r>
            <w:r>
              <w:t xml:space="preserve">  00 копеек РФ, с учетом НДС</w:t>
            </w:r>
          </w:p>
          <w:p w:rsidR="00C47853" w:rsidRDefault="00C47853">
            <w:pPr>
              <w:jc w:val="both"/>
            </w:pPr>
          </w:p>
          <w:p w:rsidR="00C47853" w:rsidRDefault="00C47853">
            <w:pPr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</w:tc>
      </w:tr>
      <w:tr w:rsidR="00C47853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и)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211224">
              <w:rPr>
                <w:b/>
                <w:bCs/>
                <w:highlight w:val="yellow"/>
              </w:rPr>
              <w:t>27</w:t>
            </w:r>
            <w:r>
              <w:rPr>
                <w:b/>
                <w:bCs/>
                <w:highlight w:val="yellow"/>
              </w:rPr>
              <w:t xml:space="preserve"> </w:t>
            </w:r>
            <w:r w:rsidR="00211224">
              <w:rPr>
                <w:b/>
                <w:bCs/>
                <w:highlight w:val="yellow"/>
              </w:rPr>
              <w:t xml:space="preserve"> февраля 2023</w:t>
            </w:r>
            <w:r>
              <w:rPr>
                <w:b/>
                <w:bCs/>
                <w:highlight w:val="yellow"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53" w:rsidRDefault="00211224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highlight w:val="yellow"/>
              </w:rPr>
              <w:t>07</w:t>
            </w:r>
            <w:r w:rsidR="00E275C9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 xml:space="preserve"> марта </w:t>
            </w:r>
            <w:r w:rsidR="00E275C9">
              <w:rPr>
                <w:b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2023</w:t>
            </w:r>
            <w:r w:rsidR="00E275C9">
              <w:rPr>
                <w:b/>
                <w:bCs/>
                <w:highlight w:val="yellow"/>
              </w:rPr>
              <w:t xml:space="preserve"> </w:t>
            </w:r>
            <w:r w:rsidR="00E275C9">
              <w:rPr>
                <w:b/>
                <w:highlight w:val="yellow"/>
              </w:rPr>
              <w:t>года</w:t>
            </w:r>
            <w:r w:rsidR="00E275C9">
              <w:t xml:space="preserve"> </w:t>
            </w:r>
            <w:r w:rsidR="00E275C9">
              <w:rPr>
                <w:b/>
                <w:highlight w:val="yellow"/>
              </w:rPr>
              <w:t xml:space="preserve">12:00 </w:t>
            </w:r>
            <w:r w:rsidR="00E275C9">
              <w:rPr>
                <w:b/>
              </w:rPr>
              <w:t>(время московское)</w:t>
            </w:r>
            <w:r w:rsidR="00E275C9">
              <w:t>;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- не позднее дня, следующего за днем окончания срока подачи заявок.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>
              <w:rPr>
                <w:b/>
                <w:highlight w:val="yellow"/>
              </w:rPr>
              <w:t xml:space="preserve">15 </w:t>
            </w:r>
            <w:r w:rsidR="00211224">
              <w:rPr>
                <w:b/>
                <w:highlight w:val="yellow"/>
              </w:rPr>
              <w:t xml:space="preserve"> марта </w:t>
            </w:r>
            <w:r w:rsidR="00211224">
              <w:rPr>
                <w:b/>
                <w:bCs/>
                <w:highlight w:val="yellow"/>
              </w:rPr>
              <w:t xml:space="preserve">2023 </w:t>
            </w:r>
            <w:r>
              <w:rPr>
                <w:b/>
                <w:highlight w:val="yellow"/>
              </w:rPr>
              <w:t>года;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53" w:rsidRDefault="00E275C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</w:t>
            </w:r>
            <w:r>
              <w:lastRenderedPageBreak/>
              <w:t>получения доступа ко вторым частям заявки и ценовому предложению; Дата окончания:</w:t>
            </w:r>
            <w:r>
              <w:rPr>
                <w:b/>
              </w:rPr>
              <w:t xml:space="preserve"> </w:t>
            </w:r>
            <w:r>
              <w:rPr>
                <w:b/>
                <w:highlight w:val="yellow"/>
              </w:rPr>
              <w:t>16</w:t>
            </w:r>
            <w:r w:rsidR="00B60FCC">
              <w:rPr>
                <w:b/>
                <w:highlight w:val="yellow"/>
              </w:rPr>
              <w:t xml:space="preserve">  марта</w:t>
            </w:r>
            <w:r>
              <w:rPr>
                <w:b/>
                <w:highlight w:val="yellow"/>
              </w:rPr>
              <w:t xml:space="preserve">  </w:t>
            </w:r>
            <w:r w:rsidR="00B60FCC">
              <w:rPr>
                <w:b/>
                <w:bCs/>
                <w:highlight w:val="yellow"/>
              </w:rPr>
              <w:t>2023</w:t>
            </w:r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года;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Москва</w:t>
            </w:r>
            <w:r>
              <w:t>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C47853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53" w:rsidRDefault="00C4785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 xml:space="preserve"> Предусмотрено</w:t>
            </w:r>
          </w:p>
          <w:p w:rsidR="00C47853" w:rsidRDefault="00C4785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53" w:rsidRDefault="00E275C9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53">
        <w:trPr>
          <w:trHeight w:val="1262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Временной интервал между размещением на официальном сайте Извещения о проведении запроса предложений, закупочной Документации и </w:t>
            </w:r>
            <w:r>
              <w:rPr>
                <w:b/>
              </w:rPr>
              <w:lastRenderedPageBreak/>
              <w:t>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lastRenderedPageBreak/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ЕЭТП,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53" w:rsidRDefault="00E275C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C47853" w:rsidRDefault="00E275C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C47853" w:rsidRDefault="00E275C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C47853" w:rsidRDefault="00C47853">
      <w:pPr>
        <w:pStyle w:val="19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sectPr w:rsidR="00C47853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79" w:rsidRDefault="00263279">
      <w:r>
        <w:separator/>
      </w:r>
    </w:p>
  </w:endnote>
  <w:endnote w:type="continuationSeparator" w:id="0">
    <w:p w:rsidR="00263279" w:rsidRDefault="0026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E1B68">
      <w:rPr>
        <w:rStyle w:val="ab"/>
        <w:noProof/>
      </w:rPr>
      <w:t>4</w: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79" w:rsidRDefault="00263279">
      <w:r>
        <w:separator/>
      </w:r>
    </w:p>
  </w:footnote>
  <w:footnote w:type="continuationSeparator" w:id="0">
    <w:p w:rsidR="00263279" w:rsidRDefault="00263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EE7"/>
    <w:multiLevelType w:val="multilevel"/>
    <w:tmpl w:val="8FA63E8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>
    <w:nsid w:val="020533A1"/>
    <w:multiLevelType w:val="hybridMultilevel"/>
    <w:tmpl w:val="CC0EBBF8"/>
    <w:lvl w:ilvl="0" w:tplc="A30A646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F7A1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A62EC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E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E3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28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5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24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E6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73BBA"/>
    <w:multiLevelType w:val="hybridMultilevel"/>
    <w:tmpl w:val="263896E8"/>
    <w:lvl w:ilvl="0" w:tplc="E3804B88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F136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0EA7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34B7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843B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440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28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0A6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683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A80B57"/>
    <w:multiLevelType w:val="multilevel"/>
    <w:tmpl w:val="76701D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2B41E9"/>
    <w:multiLevelType w:val="multilevel"/>
    <w:tmpl w:val="F5845EC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12A90BD7"/>
    <w:multiLevelType w:val="multilevel"/>
    <w:tmpl w:val="CD5AB452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6">
    <w:nsid w:val="188E2869"/>
    <w:multiLevelType w:val="hybridMultilevel"/>
    <w:tmpl w:val="F1EA44D2"/>
    <w:lvl w:ilvl="0" w:tplc="B9B4CB4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526F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DE8AB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3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6ED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3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D6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2E8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874B3"/>
    <w:multiLevelType w:val="hybridMultilevel"/>
    <w:tmpl w:val="ACD29CF4"/>
    <w:lvl w:ilvl="0" w:tplc="C52CE658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518CF294">
      <w:start w:val="1"/>
      <w:numFmt w:val="lowerLetter"/>
      <w:lvlText w:val="%2."/>
      <w:lvlJc w:val="left"/>
      <w:pPr>
        <w:ind w:left="1440" w:hanging="360"/>
      </w:pPr>
    </w:lvl>
    <w:lvl w:ilvl="2" w:tplc="C4CC56E6">
      <w:start w:val="1"/>
      <w:numFmt w:val="lowerRoman"/>
      <w:lvlText w:val="%3."/>
      <w:lvlJc w:val="right"/>
      <w:pPr>
        <w:ind w:left="2160" w:hanging="180"/>
      </w:pPr>
    </w:lvl>
    <w:lvl w:ilvl="3" w:tplc="2E863AB2">
      <w:start w:val="1"/>
      <w:numFmt w:val="decimal"/>
      <w:lvlText w:val="%4."/>
      <w:lvlJc w:val="left"/>
      <w:pPr>
        <w:ind w:left="2880" w:hanging="360"/>
      </w:pPr>
    </w:lvl>
    <w:lvl w:ilvl="4" w:tplc="4C4EAFB8">
      <w:start w:val="1"/>
      <w:numFmt w:val="lowerLetter"/>
      <w:lvlText w:val="%5."/>
      <w:lvlJc w:val="left"/>
      <w:pPr>
        <w:ind w:left="3600" w:hanging="360"/>
      </w:pPr>
    </w:lvl>
    <w:lvl w:ilvl="5" w:tplc="B75CD59E">
      <w:start w:val="1"/>
      <w:numFmt w:val="lowerRoman"/>
      <w:lvlText w:val="%6."/>
      <w:lvlJc w:val="right"/>
      <w:pPr>
        <w:ind w:left="4320" w:hanging="180"/>
      </w:pPr>
    </w:lvl>
    <w:lvl w:ilvl="6" w:tplc="CFEAF67A">
      <w:start w:val="1"/>
      <w:numFmt w:val="decimal"/>
      <w:lvlText w:val="%7."/>
      <w:lvlJc w:val="left"/>
      <w:pPr>
        <w:ind w:left="5040" w:hanging="360"/>
      </w:pPr>
    </w:lvl>
    <w:lvl w:ilvl="7" w:tplc="406E5178">
      <w:start w:val="1"/>
      <w:numFmt w:val="lowerLetter"/>
      <w:lvlText w:val="%8."/>
      <w:lvlJc w:val="left"/>
      <w:pPr>
        <w:ind w:left="5760" w:hanging="360"/>
      </w:pPr>
    </w:lvl>
    <w:lvl w:ilvl="8" w:tplc="CEBA460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3075B"/>
    <w:multiLevelType w:val="multilevel"/>
    <w:tmpl w:val="36967D5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9">
    <w:nsid w:val="2412020A"/>
    <w:multiLevelType w:val="multilevel"/>
    <w:tmpl w:val="00FE6D6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25766758"/>
    <w:multiLevelType w:val="multilevel"/>
    <w:tmpl w:val="BB28A7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1">
    <w:nsid w:val="26EA21A5"/>
    <w:multiLevelType w:val="multilevel"/>
    <w:tmpl w:val="798EAD3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329542C6"/>
    <w:multiLevelType w:val="multilevel"/>
    <w:tmpl w:val="60840DD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13">
    <w:nsid w:val="40332E61"/>
    <w:multiLevelType w:val="hybridMultilevel"/>
    <w:tmpl w:val="0FA22C88"/>
    <w:lvl w:ilvl="0" w:tplc="A894B0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EB0A70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1B268C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67C6B1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0EC752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E326A6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F6A9DD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6CAAA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9A83A5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9D34F77"/>
    <w:multiLevelType w:val="hybridMultilevel"/>
    <w:tmpl w:val="B15E10D6"/>
    <w:lvl w:ilvl="0" w:tplc="45289E7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4B542AA0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8D743CA2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D9843DC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AED83496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B908F7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FB50E0D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33163E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06DC6868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5">
    <w:nsid w:val="640014F1"/>
    <w:multiLevelType w:val="hybridMultilevel"/>
    <w:tmpl w:val="2C7A91CE"/>
    <w:lvl w:ilvl="0" w:tplc="0F00E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6E433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2C4139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1DC695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1479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54AD3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DF6CE5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F8492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0A21CD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>
    <w:nsid w:val="64195311"/>
    <w:multiLevelType w:val="hybridMultilevel"/>
    <w:tmpl w:val="E2848B34"/>
    <w:lvl w:ilvl="0" w:tplc="B380D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1A5B1A">
      <w:numFmt w:val="decimal"/>
      <w:lvlText w:val=""/>
      <w:lvlJc w:val="left"/>
    </w:lvl>
    <w:lvl w:ilvl="2" w:tplc="52CCB78A">
      <w:numFmt w:val="decimal"/>
      <w:lvlText w:val=""/>
      <w:lvlJc w:val="left"/>
    </w:lvl>
    <w:lvl w:ilvl="3" w:tplc="C4825AA0">
      <w:numFmt w:val="decimal"/>
      <w:lvlText w:val=""/>
      <w:lvlJc w:val="left"/>
    </w:lvl>
    <w:lvl w:ilvl="4" w:tplc="0A442512">
      <w:numFmt w:val="decimal"/>
      <w:lvlText w:val=""/>
      <w:lvlJc w:val="left"/>
    </w:lvl>
    <w:lvl w:ilvl="5" w:tplc="89A8921E">
      <w:numFmt w:val="decimal"/>
      <w:lvlText w:val=""/>
      <w:lvlJc w:val="left"/>
    </w:lvl>
    <w:lvl w:ilvl="6" w:tplc="295C13EA">
      <w:numFmt w:val="decimal"/>
      <w:lvlText w:val=""/>
      <w:lvlJc w:val="left"/>
    </w:lvl>
    <w:lvl w:ilvl="7" w:tplc="6576BACC">
      <w:numFmt w:val="decimal"/>
      <w:lvlText w:val=""/>
      <w:lvlJc w:val="left"/>
    </w:lvl>
    <w:lvl w:ilvl="8" w:tplc="92680FF0">
      <w:numFmt w:val="decimal"/>
      <w:lvlText w:val=""/>
      <w:lvlJc w:val="left"/>
    </w:lvl>
  </w:abstractNum>
  <w:abstractNum w:abstractNumId="17">
    <w:nsid w:val="67101A4C"/>
    <w:multiLevelType w:val="hybridMultilevel"/>
    <w:tmpl w:val="F348BE5A"/>
    <w:lvl w:ilvl="0" w:tplc="F1FCE6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A2284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EAABE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8F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6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2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81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2D0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CD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1C47D0"/>
    <w:multiLevelType w:val="multilevel"/>
    <w:tmpl w:val="6742EE4C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9">
    <w:nsid w:val="6C513690"/>
    <w:multiLevelType w:val="hybridMultilevel"/>
    <w:tmpl w:val="E8C2EE66"/>
    <w:lvl w:ilvl="0" w:tplc="7C40371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113231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4830E1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AC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67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03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A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63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B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647717"/>
    <w:multiLevelType w:val="hybridMultilevel"/>
    <w:tmpl w:val="03F2BE5A"/>
    <w:lvl w:ilvl="0" w:tplc="339070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2A8A4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6AA2B2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7049B7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23304E0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F082311C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83EDE1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83A82F3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72A872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1">
    <w:nsid w:val="755F1346"/>
    <w:multiLevelType w:val="hybridMultilevel"/>
    <w:tmpl w:val="40683694"/>
    <w:lvl w:ilvl="0" w:tplc="4DC871D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B0E4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3CAE5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EF1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E2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833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C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0C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20"/>
  </w:num>
  <w:num w:numId="5">
    <w:abstractNumId w:val="17"/>
  </w:num>
  <w:num w:numId="6">
    <w:abstractNumId w:val="1"/>
  </w:num>
  <w:num w:numId="7">
    <w:abstractNumId w:val="21"/>
  </w:num>
  <w:num w:numId="8">
    <w:abstractNumId w:val="6"/>
  </w:num>
  <w:num w:numId="9">
    <w:abstractNumId w:val="8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3"/>
  </w:num>
  <w:num w:numId="20">
    <w:abstractNumId w:val="15"/>
  </w:num>
  <w:num w:numId="21">
    <w:abstractNumId w:val="2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53"/>
    <w:rsid w:val="00101B04"/>
    <w:rsid w:val="00123D64"/>
    <w:rsid w:val="001E1B68"/>
    <w:rsid w:val="00211224"/>
    <w:rsid w:val="00263279"/>
    <w:rsid w:val="009E2D08"/>
    <w:rsid w:val="00B60FCC"/>
    <w:rsid w:val="00C47853"/>
    <w:rsid w:val="00D24515"/>
    <w:rsid w:val="00E2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66</cp:revision>
  <dcterms:created xsi:type="dcterms:W3CDTF">2021-08-17T07:59:00Z</dcterms:created>
  <dcterms:modified xsi:type="dcterms:W3CDTF">2023-02-27T11:35:00Z</dcterms:modified>
  <cp:version>917504</cp:version>
</cp:coreProperties>
</file>