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15A2AE5" w14:textId="77777777" w:rsidR="00B47BBD" w:rsidRPr="00246FB9" w:rsidRDefault="00B47BBD" w:rsidP="00B47BBD">
      <w:pPr>
        <w:jc w:val="right"/>
      </w:pPr>
      <w:r w:rsidRPr="00246FB9">
        <w:t>Председатель закупочной комиссии -</w:t>
      </w:r>
    </w:p>
    <w:p w14:paraId="1B2C6038" w14:textId="77777777" w:rsidR="00B47BBD" w:rsidRPr="00246FB9" w:rsidRDefault="00B47BBD" w:rsidP="00B47BBD">
      <w:pPr>
        <w:jc w:val="right"/>
      </w:pPr>
      <w:r w:rsidRPr="00246FB9">
        <w:t>Заместитель генерального директора –</w:t>
      </w:r>
    </w:p>
    <w:p w14:paraId="107413B2" w14:textId="77777777" w:rsidR="00B47BBD" w:rsidRPr="00246FB9" w:rsidRDefault="00B47BBD" w:rsidP="00B47BBD">
      <w:pPr>
        <w:jc w:val="right"/>
      </w:pPr>
      <w:r w:rsidRPr="00246FB9">
        <w:t>директор филиала ПАО «МРСК Центра» -</w:t>
      </w:r>
    </w:p>
    <w:p w14:paraId="502454DA" w14:textId="77777777" w:rsidR="00B47BBD" w:rsidRDefault="00B47BBD" w:rsidP="00B47BBD">
      <w:pPr>
        <w:jc w:val="right"/>
      </w:pPr>
      <w:r w:rsidRPr="00246FB9">
        <w:t>«Смоленскэнерго»</w:t>
      </w:r>
    </w:p>
    <w:p w14:paraId="1CD80A16" w14:textId="77777777" w:rsidR="00B47BBD" w:rsidRPr="00246FB9" w:rsidRDefault="00B47BBD" w:rsidP="00B47BBD">
      <w:pPr>
        <w:jc w:val="right"/>
      </w:pPr>
    </w:p>
    <w:p w14:paraId="2707AE22" w14:textId="77777777" w:rsidR="00B47BBD" w:rsidRPr="00246FB9" w:rsidRDefault="00B47BBD" w:rsidP="00B47BBD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4D61D47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B1136C">
        <w:t>23</w:t>
      </w:r>
      <w:r w:rsidRPr="003C47E7">
        <w:t xml:space="preserve">» </w:t>
      </w:r>
      <w:r w:rsidR="00B1136C">
        <w:t xml:space="preserve">октября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6B736758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0F27DF">
        <w:rPr>
          <w:b/>
          <w:kern w:val="36"/>
        </w:rPr>
        <w:t>0371-СМ-19</w:t>
      </w:r>
    </w:p>
    <w:p w14:paraId="14FBB0EA" w14:textId="50528815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B1136C">
        <w:rPr>
          <w:b/>
          <w:kern w:val="36"/>
        </w:rPr>
        <w:t>23</w:t>
      </w:r>
      <w:r w:rsidRPr="003C47E7">
        <w:rPr>
          <w:b/>
          <w:kern w:val="36"/>
        </w:rPr>
        <w:t xml:space="preserve">» </w:t>
      </w:r>
      <w:r w:rsidR="00B1136C">
        <w:rPr>
          <w:b/>
          <w:kern w:val="36"/>
        </w:rPr>
        <w:t xml:space="preserve">октября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693131C" w:rsidR="007F1DD5" w:rsidRPr="007D7292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="007D7292" w:rsidRPr="007D7292">
        <w:rPr>
          <w:bCs/>
        </w:rPr>
        <w:t>Договора на поставку комплектующих РЗА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2F44B5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47BBD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1E711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1E711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1E71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1E711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1E71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1E711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47BB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47BBD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47BB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81649A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B47BBD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 xml:space="preserve">Критерии оценки заявок участников </w:t>
      </w:r>
      <w:r w:rsidRPr="00B47BBD">
        <w:rPr>
          <w:sz w:val="24"/>
          <w:szCs w:val="24"/>
        </w:rPr>
        <w:t>закупки</w:t>
      </w:r>
      <w:bookmarkEnd w:id="189"/>
      <w:bookmarkEnd w:id="190"/>
      <w:bookmarkEnd w:id="191"/>
    </w:p>
    <w:p w14:paraId="56A029B2" w14:textId="0F073442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47BB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47BB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B47BB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47BB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47BBD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47BBD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7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47BB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8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47BBD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47BBD">
        <w:rPr>
          <w:rFonts w:ascii="Times New Roman" w:hAnsi="Times New Roman" w:cs="Times New Roman"/>
          <w:b w:val="0"/>
          <w:bCs w:val="0"/>
        </w:rPr>
        <w:t>й</w:t>
      </w:r>
      <w:r w:rsidRPr="00B47BBD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B47BBD">
        <w:rPr>
          <w:rFonts w:ascii="Times New Roman" w:hAnsi="Times New Roman" w:cs="Times New Roman"/>
          <w:b w:val="0"/>
          <w:bCs w:val="0"/>
        </w:rPr>
        <w:t>Организатору</w:t>
      </w:r>
      <w:r w:rsidRPr="00B47BBD">
        <w:rPr>
          <w:rFonts w:ascii="Times New Roman" w:hAnsi="Times New Roman" w:cs="Times New Roman"/>
          <w:b w:val="0"/>
          <w:bCs w:val="0"/>
        </w:rPr>
        <w:t xml:space="preserve"> оператором ЕЭТП в порядке и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47BBD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B47BBD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B47BB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C699AD" w:rsidR="00843656" w:rsidRPr="00B47BB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47BB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47BBD">
        <w:rPr>
          <w:rFonts w:ascii="Times New Roman" w:hAnsi="Times New Roman" w:cs="Times New Roman"/>
          <w:bCs w:val="0"/>
        </w:rPr>
        <w:t>в Приложении №3</w:t>
      </w:r>
      <w:r w:rsidRPr="00B47BBD">
        <w:rPr>
          <w:rFonts w:ascii="Times New Roman" w:hAnsi="Times New Roman" w:cs="Times New Roman"/>
          <w:bCs w:val="0"/>
        </w:rPr>
        <w:t xml:space="preserve"> </w:t>
      </w:r>
      <w:r w:rsidR="002660B0" w:rsidRPr="00B47BBD">
        <w:rPr>
          <w:rFonts w:ascii="Times New Roman" w:hAnsi="Times New Roman" w:cs="Times New Roman"/>
          <w:bCs w:val="0"/>
        </w:rPr>
        <w:t xml:space="preserve">к </w:t>
      </w:r>
      <w:r w:rsidRPr="00B47BB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47BBD">
        <w:rPr>
          <w:rFonts w:ascii="Times New Roman" w:hAnsi="Times New Roman" w:cs="Times New Roman"/>
          <w:bCs w:val="0"/>
        </w:rPr>
        <w:t>Закупочная</w:t>
      </w:r>
      <w:r w:rsidRPr="00B47BB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B47BBD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B47BBD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B47BBD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5454040" w:rsidR="00167EF2" w:rsidRPr="00B47BB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B47BBD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B47BB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47BB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</w:t>
      </w:r>
      <w:r w:rsidRPr="00FD4EB9">
        <w:rPr>
          <w:rFonts w:ascii="Times New Roman" w:hAnsi="Times New Roman" w:cs="Times New Roman"/>
          <w:b w:val="0"/>
        </w:rPr>
        <w:t xml:space="preserve">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B47BBD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23082104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B47BBD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B47BBD">
        <w:rPr>
          <w:rFonts w:ascii="Times New Roman" w:hAnsi="Times New Roman" w:cs="Times New Roman"/>
          <w:b w:val="0"/>
        </w:rPr>
        <w:fldChar w:fldCharType="begin"/>
      </w:r>
      <w:r w:rsidR="00493CAF" w:rsidRPr="00B47BB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47BBD">
        <w:rPr>
          <w:rFonts w:ascii="Times New Roman" w:hAnsi="Times New Roman" w:cs="Times New Roman"/>
          <w:b w:val="0"/>
        </w:rPr>
      </w:r>
      <w:r w:rsidR="00493CAF" w:rsidRPr="00B47BBD">
        <w:rPr>
          <w:rFonts w:ascii="Times New Roman" w:hAnsi="Times New Roman" w:cs="Times New Roman"/>
          <w:b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</w:rPr>
        <w:t>3</w:t>
      </w:r>
      <w:r w:rsidR="00493CAF" w:rsidRPr="00B47BBD">
        <w:rPr>
          <w:rFonts w:ascii="Times New Roman" w:hAnsi="Times New Roman" w:cs="Times New Roman"/>
          <w:b w:val="0"/>
        </w:rPr>
        <w:fldChar w:fldCharType="end"/>
      </w:r>
      <w:r w:rsidRPr="00B47BBD">
        <w:rPr>
          <w:rFonts w:ascii="Times New Roman" w:hAnsi="Times New Roman" w:cs="Times New Roman"/>
          <w:b w:val="0"/>
        </w:rPr>
        <w:t xml:space="preserve"> части </w:t>
      </w:r>
      <w:r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47BB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47BBD" w:rsidDel="00413E80">
        <w:rPr>
          <w:rFonts w:ascii="Times New Roman" w:hAnsi="Times New Roman" w:cs="Times New Roman"/>
          <w:b w:val="0"/>
        </w:rPr>
        <w:t xml:space="preserve"> </w:t>
      </w:r>
      <w:r w:rsidRPr="00B47BB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B47BBD">
        <w:rPr>
          <w:sz w:val="24"/>
          <w:szCs w:val="24"/>
        </w:rPr>
        <w:t xml:space="preserve">Требование к </w:t>
      </w:r>
      <w:bookmarkEnd w:id="291"/>
      <w:r w:rsidR="00DD4ADD" w:rsidRPr="00B47BBD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B47BB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B47BB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47BB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B47BB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B47BB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47BBD" w:rsidRDefault="006545EB" w:rsidP="006545EB"/>
    <w:p w14:paraId="1F4260D6" w14:textId="77777777" w:rsidR="006545EB" w:rsidRPr="00B47BB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B47BBD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B47BBD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DA67195" w:rsidR="00B47BBD" w:rsidRPr="00B47BBD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3BB4F6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59A289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151AEE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12B6D4A9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0B0913B7" w14:textId="77777777" w:rsidR="00B47BBD" w:rsidRPr="00B47BBD" w:rsidRDefault="00B47BBD" w:rsidP="00B47BBD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460F6C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78CA880F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CD2A1F6" w14:textId="77777777" w:rsidR="00B47BBD" w:rsidRPr="00B47BBD" w:rsidRDefault="00B47BBD" w:rsidP="00B47BBD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079C0D3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08B4EA2E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F889458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55AFBF32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5246C917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009D4EBA" w:rsidR="00B47BBD" w:rsidRPr="00B47BBD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B47BBD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47BBD" w:rsidRPr="0063323B" w:rsidRDefault="00B47BBD" w:rsidP="00B47BB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8590BE" w:rsidR="00B47BBD" w:rsidRPr="00A54EE2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FDF8220" w:rsidR="009E2798" w:rsidRPr="007D7292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</w:t>
            </w:r>
            <w:r w:rsidRPr="007D7292">
              <w:rPr>
                <w:b/>
                <w:sz w:val="22"/>
                <w:szCs w:val="22"/>
              </w:rPr>
              <w:t>№ 1:</w:t>
            </w:r>
            <w:r w:rsidR="009E2798" w:rsidRPr="007D7292">
              <w:rPr>
                <w:bCs/>
                <w:sz w:val="22"/>
                <w:szCs w:val="22"/>
              </w:rPr>
              <w:t xml:space="preserve"> право заключения </w:t>
            </w:r>
            <w:r w:rsidR="007D7292" w:rsidRPr="007D7292">
              <w:rPr>
                <w:iCs/>
              </w:rPr>
              <w:t>Договора на поставку комплектующих РЗА для нужд ПАО «МРСК Центра» (филиала «Смоленскэнерго»</w:t>
            </w:r>
            <w:r w:rsidR="009E2798" w:rsidRPr="007D7292">
              <w:rPr>
                <w:sz w:val="22"/>
                <w:szCs w:val="22"/>
              </w:rPr>
              <w:t>, расположенного по адресу: РФ, 214019, г.</w:t>
            </w:r>
            <w:r w:rsidR="007D7292" w:rsidRPr="007D7292">
              <w:rPr>
                <w:sz w:val="22"/>
                <w:szCs w:val="22"/>
              </w:rPr>
              <w:t xml:space="preserve"> Смоленск, ул. Тенишевой, д. 33</w:t>
            </w:r>
            <w:r w:rsidR="009E2798" w:rsidRPr="007D7292">
              <w:rPr>
                <w:sz w:val="22"/>
                <w:szCs w:val="22"/>
              </w:rPr>
              <w:t>)</w:t>
            </w:r>
          </w:p>
          <w:p w14:paraId="7F36875A" w14:textId="77777777" w:rsidR="009E2798" w:rsidRPr="007D7292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7D729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7292">
              <w:rPr>
                <w:sz w:val="22"/>
                <w:szCs w:val="22"/>
              </w:rPr>
              <w:t xml:space="preserve">Количество лотов: </w:t>
            </w:r>
            <w:r w:rsidRPr="007D7292">
              <w:rPr>
                <w:b/>
                <w:sz w:val="22"/>
                <w:szCs w:val="22"/>
              </w:rPr>
              <w:t>1 (один)</w:t>
            </w:r>
          </w:p>
          <w:p w14:paraId="1281F41A" w14:textId="25258A75" w:rsidR="0029672A" w:rsidRPr="00B47BBD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7D729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B47BB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63323B">
              <w:rPr>
                <w:sz w:val="22"/>
                <w:szCs w:val="22"/>
              </w:rPr>
              <w:t xml:space="preserve">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69B842A" w:rsidR="006F43E1" w:rsidRPr="007D7292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7D7292">
              <w:rPr>
                <w:sz w:val="22"/>
                <w:szCs w:val="22"/>
              </w:rPr>
              <w:t xml:space="preserve">Сроки выполнения поставок: </w:t>
            </w:r>
            <w:r w:rsidR="007D7292" w:rsidRPr="007D7292">
              <w:rPr>
                <w:sz w:val="22"/>
                <w:szCs w:val="22"/>
              </w:rPr>
              <w:t>поставка осуществляется в период с 19.01.2020 по 15.08.2020 в соответствии с графиком поставки, приведенным в Техническом задании</w:t>
            </w:r>
            <w:r w:rsidRPr="007D7292">
              <w:rPr>
                <w:sz w:val="22"/>
                <w:szCs w:val="22"/>
              </w:rPr>
              <w:t>.</w:t>
            </w:r>
          </w:p>
          <w:p w14:paraId="49FD6FD6" w14:textId="77777777" w:rsidR="00B47BBD" w:rsidRPr="007D7292" w:rsidRDefault="00B47BBD" w:rsidP="007D72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7D729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 214031, г. Смоленск, ул. Индустриальная, д. 5.</w:t>
            </w:r>
          </w:p>
          <w:p w14:paraId="3CC5D134" w14:textId="1D3683AB" w:rsidR="00C90121" w:rsidRPr="007D7292" w:rsidRDefault="006338B4" w:rsidP="007D72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7D729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II. «ТЕХНИЧЕСКАЯ ЧАСТЬ» (Приложение №1 </w:t>
            </w:r>
            <w:r w:rsidR="002660B0" w:rsidRPr="007D7292">
              <w:rPr>
                <w:sz w:val="22"/>
                <w:szCs w:val="22"/>
              </w:rPr>
              <w:t xml:space="preserve">– </w:t>
            </w:r>
            <w:r w:rsidRPr="007D7292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7D7292">
              <w:rPr>
                <w:sz w:val="22"/>
                <w:szCs w:val="22"/>
              </w:rPr>
              <w:fldChar w:fldCharType="begin"/>
            </w:r>
            <w:r w:rsidRPr="007D7292">
              <w:rPr>
                <w:sz w:val="22"/>
                <w:szCs w:val="22"/>
              </w:rPr>
              <w:instrText xml:space="preserve"> REF _Ref791643 \r \h  \* MERGEFORMAT </w:instrText>
            </w:r>
            <w:r w:rsidRPr="007D7292">
              <w:rPr>
                <w:sz w:val="22"/>
                <w:szCs w:val="22"/>
              </w:rPr>
            </w:r>
            <w:r w:rsidRPr="007D7292">
              <w:rPr>
                <w:sz w:val="22"/>
                <w:szCs w:val="22"/>
              </w:rPr>
              <w:fldChar w:fldCharType="separate"/>
            </w:r>
            <w:r w:rsidR="00DD0F55" w:rsidRPr="007D7292">
              <w:rPr>
                <w:sz w:val="22"/>
                <w:szCs w:val="22"/>
              </w:rPr>
              <w:t>7</w:t>
            </w:r>
            <w:r w:rsidRPr="007D7292">
              <w:rPr>
                <w:sz w:val="22"/>
                <w:szCs w:val="22"/>
              </w:rPr>
              <w:fldChar w:fldCharType="end"/>
            </w:r>
            <w:r w:rsidRPr="007D7292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7D7292">
              <w:rPr>
                <w:sz w:val="22"/>
                <w:szCs w:val="22"/>
              </w:rPr>
              <w:t>–</w:t>
            </w:r>
            <w:r w:rsidRPr="007D7292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</w:t>
            </w:r>
            <w:r w:rsidRPr="0063323B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67F2B61" w:rsidR="009640B6" w:rsidRPr="007D7292" w:rsidRDefault="009640B6" w:rsidP="007D7292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7D7292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7D7292">
              <w:rPr>
                <w:bCs w:val="0"/>
                <w:sz w:val="22"/>
              </w:rPr>
              <w:t xml:space="preserve"> </w:t>
            </w:r>
            <w:r w:rsidR="007D7292" w:rsidRPr="007D7292">
              <w:rPr>
                <w:b/>
                <w:sz w:val="22"/>
              </w:rPr>
              <w:t>2 354 266,00</w:t>
            </w:r>
            <w:r w:rsidR="007D7292" w:rsidRPr="007D7292">
              <w:rPr>
                <w:sz w:val="22"/>
              </w:rPr>
              <w:t xml:space="preserve"> (два миллиона триста пятьдесят четыре тысячи двести </w:t>
            </w:r>
            <w:r w:rsidR="007D7292" w:rsidRPr="007D7292">
              <w:rPr>
                <w:sz w:val="22"/>
              </w:rPr>
              <w:lastRenderedPageBreak/>
              <w:t xml:space="preserve">шестьдесят шесть) рублей 00 копеек РФ, без учета НДС; НДС составляет </w:t>
            </w:r>
            <w:r w:rsidR="007D7292" w:rsidRPr="007D7292">
              <w:rPr>
                <w:b/>
                <w:sz w:val="22"/>
              </w:rPr>
              <w:t>470 853,20</w:t>
            </w:r>
            <w:r w:rsidR="007D7292" w:rsidRPr="007D7292">
              <w:rPr>
                <w:sz w:val="22"/>
              </w:rPr>
              <w:t xml:space="preserve"> (четыреста семьдесят тысяч восемьсот пятьдесят три) рубля 20 копеек РФ; </w:t>
            </w:r>
            <w:r w:rsidR="007D7292" w:rsidRPr="007D7292">
              <w:rPr>
                <w:b/>
                <w:sz w:val="22"/>
              </w:rPr>
              <w:t>2 825 119,20</w:t>
            </w:r>
            <w:r w:rsidR="007D7292" w:rsidRPr="007D7292">
              <w:rPr>
                <w:sz w:val="22"/>
              </w:rPr>
              <w:t xml:space="preserve"> (два миллиона восемьсот двадцать пять тысяч сто девятнадцать) рублей 20 копеек РФ, с учетом НДС</w:t>
            </w:r>
            <w:r w:rsidR="00B47BBD" w:rsidRPr="007D7292">
              <w:rPr>
                <w:sz w:val="22"/>
              </w:rPr>
              <w:t>.</w:t>
            </w:r>
          </w:p>
          <w:p w14:paraId="742D9BF0" w14:textId="77777777" w:rsidR="00E4088A" w:rsidRPr="007D7292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01A926E6" w:rsidR="00995BEE" w:rsidRPr="007D7292" w:rsidRDefault="00E4088A" w:rsidP="00B47BB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7D7292">
              <w:rPr>
                <w:bCs/>
                <w:sz w:val="22"/>
                <w:szCs w:val="22"/>
              </w:rPr>
              <w:t>Начальная (</w:t>
            </w:r>
            <w:r w:rsidRPr="007D7292">
              <w:rPr>
                <w:sz w:val="22"/>
                <w:szCs w:val="22"/>
              </w:rPr>
              <w:t>максимальная</w:t>
            </w:r>
            <w:r w:rsidRPr="007D7292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7D7292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7D7292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7D7292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F59B14B" w:rsidR="007F7090" w:rsidRPr="00B47BBD" w:rsidRDefault="007F7090" w:rsidP="0086221C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="004D1190">
              <w:rPr>
                <w:iCs/>
                <w:sz w:val="22"/>
                <w:szCs w:val="22"/>
              </w:rPr>
              <w:t>30</w:t>
            </w:r>
            <w:r w:rsidR="004D1190" w:rsidRPr="0063323B">
              <w:rPr>
                <w:iCs/>
                <w:sz w:val="22"/>
                <w:szCs w:val="22"/>
              </w:rPr>
              <w:t xml:space="preserve"> (</w:t>
            </w:r>
            <w:r w:rsidR="004D1190">
              <w:rPr>
                <w:iCs/>
                <w:sz w:val="22"/>
                <w:szCs w:val="22"/>
              </w:rPr>
              <w:t>тридцати</w:t>
            </w:r>
            <w:r w:rsidR="004D1190" w:rsidRPr="0063323B">
              <w:rPr>
                <w:iCs/>
                <w:sz w:val="22"/>
                <w:szCs w:val="22"/>
              </w:rPr>
              <w:t xml:space="preserve">) </w:t>
            </w:r>
            <w:r w:rsidR="004D1190">
              <w:rPr>
                <w:iCs/>
                <w:sz w:val="22"/>
                <w:szCs w:val="22"/>
              </w:rPr>
              <w:t>календарных</w:t>
            </w:r>
            <w:r w:rsidR="004D1190" w:rsidRPr="0063323B">
              <w:rPr>
                <w:iCs/>
                <w:sz w:val="22"/>
                <w:szCs w:val="22"/>
              </w:rPr>
              <w:t xml:space="preserve"> </w:t>
            </w:r>
            <w:r w:rsidRPr="0063323B">
              <w:rPr>
                <w:iCs/>
                <w:sz w:val="22"/>
                <w:szCs w:val="22"/>
              </w:rPr>
              <w:t xml:space="preserve">дней </w:t>
            </w:r>
            <w:r w:rsidRPr="00B47BBD">
              <w:rPr>
                <w:iCs/>
                <w:sz w:val="22"/>
                <w:szCs w:val="22"/>
              </w:rPr>
              <w:t xml:space="preserve"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B47BBD">
              <w:rPr>
                <w:iCs/>
                <w:sz w:val="22"/>
                <w:szCs w:val="22"/>
              </w:rPr>
              <w:t>«</w:t>
            </w:r>
            <w:r w:rsidRPr="00B47BBD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</w:t>
            </w:r>
            <w:r w:rsidRPr="0063323B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первых частей заявки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AA8CAD" w:rsidR="006D7050" w:rsidRPr="00B47B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47BBD">
              <w:rPr>
                <w:b/>
                <w:sz w:val="22"/>
                <w:szCs w:val="22"/>
              </w:rPr>
              <w:t>не</w:t>
            </w:r>
            <w:r w:rsidR="00090E7F" w:rsidRPr="00B47BBD">
              <w:rPr>
                <w:sz w:val="22"/>
                <w:szCs w:val="22"/>
              </w:rPr>
              <w:t xml:space="preserve"> </w:t>
            </w:r>
            <w:r w:rsidRPr="00B47B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вторых частей заявки –</w:t>
            </w:r>
            <w:r w:rsidR="00A13786" w:rsidRPr="00B47B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Подведение </w:t>
            </w:r>
            <w:r w:rsidR="00A13786" w:rsidRPr="00B47BBD">
              <w:rPr>
                <w:sz w:val="22"/>
                <w:szCs w:val="22"/>
              </w:rPr>
              <w:t>итогов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03E6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Заявка подается в электронной форме с использованием функционала и в соответствии с </w:t>
            </w:r>
            <w:r w:rsidRPr="00503E6B">
              <w:rPr>
                <w:color w:val="auto"/>
                <w:sz w:val="22"/>
                <w:szCs w:val="22"/>
              </w:rPr>
              <w:t>Регламентом работы ЕЭТП.</w:t>
            </w:r>
          </w:p>
          <w:p w14:paraId="2AFE5F7A" w14:textId="77777777" w:rsidR="00562DB8" w:rsidRPr="00503E6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139442A" w:rsidR="00562DB8" w:rsidRPr="00503E6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03E6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503E6B" w:rsidRPr="00503E6B">
              <w:rPr>
                <w:b/>
                <w:bCs/>
                <w:sz w:val="22"/>
                <w:szCs w:val="22"/>
              </w:rPr>
              <w:t>21 ноября</w:t>
            </w:r>
            <w:r w:rsidRPr="00503E6B">
              <w:rPr>
                <w:b/>
                <w:bCs/>
                <w:sz w:val="22"/>
                <w:szCs w:val="22"/>
              </w:rPr>
              <w:t xml:space="preserve"> 2019 года;</w:t>
            </w:r>
            <w:r w:rsidRPr="00503E6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503E6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503E6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7EFE64A9" w:rsidR="00562DB8" w:rsidRPr="00503E6B" w:rsidRDefault="00503E6B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503E6B">
              <w:rPr>
                <w:b/>
                <w:sz w:val="22"/>
                <w:szCs w:val="22"/>
              </w:rPr>
              <w:t>29 ноября</w:t>
            </w:r>
            <w:r w:rsidR="00562DB8" w:rsidRPr="00503E6B">
              <w:rPr>
                <w:b/>
                <w:sz w:val="22"/>
                <w:szCs w:val="22"/>
              </w:rPr>
              <w:t xml:space="preserve"> 2019 года</w:t>
            </w:r>
            <w:r w:rsidR="00562DB8" w:rsidRPr="00503E6B" w:rsidDel="003514C1">
              <w:rPr>
                <w:sz w:val="22"/>
                <w:szCs w:val="22"/>
              </w:rPr>
              <w:t xml:space="preserve"> </w:t>
            </w:r>
            <w:r w:rsidR="00791300" w:rsidRPr="00503E6B">
              <w:rPr>
                <w:b/>
                <w:sz w:val="22"/>
                <w:szCs w:val="22"/>
              </w:rPr>
              <w:t xml:space="preserve">12:00 </w:t>
            </w:r>
            <w:r w:rsidR="00562DB8" w:rsidRPr="00503E6B">
              <w:rPr>
                <w:b/>
                <w:sz w:val="22"/>
                <w:szCs w:val="22"/>
              </w:rPr>
              <w:t>(время московское)</w:t>
            </w:r>
            <w:r w:rsidR="00562DB8" w:rsidRPr="00503E6B">
              <w:rPr>
                <w:sz w:val="22"/>
                <w:szCs w:val="22"/>
              </w:rPr>
              <w:t>;</w:t>
            </w:r>
          </w:p>
          <w:p w14:paraId="1D8F6E40" w14:textId="238D7C06" w:rsidR="00562DB8" w:rsidRPr="00503E6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03E6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03E6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503E6B">
              <w:rPr>
                <w:iCs/>
                <w:sz w:val="22"/>
                <w:szCs w:val="22"/>
              </w:rPr>
              <w:t xml:space="preserve">закупке </w:t>
            </w:r>
            <w:r w:rsidR="007B6A44" w:rsidRPr="00503E6B">
              <w:rPr>
                <w:color w:val="auto"/>
                <w:sz w:val="22"/>
                <w:szCs w:val="22"/>
              </w:rPr>
              <w:t>–</w:t>
            </w:r>
            <w:r w:rsidRPr="00503E6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503E6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03E6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65A45D2" w:rsidR="00562DB8" w:rsidRPr="00503E6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03E6B">
              <w:rPr>
                <w:color w:val="auto"/>
                <w:sz w:val="22"/>
                <w:szCs w:val="22"/>
              </w:rPr>
              <w:lastRenderedPageBreak/>
              <w:t>Дата начала проведения этапа: с момент</w:t>
            </w:r>
            <w:r w:rsidR="00062A76" w:rsidRPr="00503E6B">
              <w:rPr>
                <w:color w:val="auto"/>
                <w:sz w:val="22"/>
                <w:szCs w:val="22"/>
              </w:rPr>
              <w:t>а</w:t>
            </w:r>
            <w:r w:rsidRPr="00503E6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503E6B">
              <w:rPr>
                <w:color w:val="auto"/>
                <w:sz w:val="22"/>
                <w:szCs w:val="22"/>
              </w:rPr>
              <w:t>х</w:t>
            </w:r>
            <w:r w:rsidRPr="00503E6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325028">
              <w:rPr>
                <w:b/>
                <w:color w:val="auto"/>
                <w:sz w:val="22"/>
                <w:szCs w:val="22"/>
              </w:rPr>
              <w:t>13</w:t>
            </w:r>
            <w:r w:rsidR="00503E6B" w:rsidRPr="00503E6B">
              <w:rPr>
                <w:b/>
                <w:color w:val="auto"/>
                <w:sz w:val="22"/>
                <w:szCs w:val="22"/>
              </w:rPr>
              <w:t xml:space="preserve"> декабря</w:t>
            </w:r>
            <w:r w:rsidRPr="00503E6B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503E6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03E6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A86EB5C" w:rsidR="00062A76" w:rsidRPr="00503E6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03E6B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503E6B">
              <w:rPr>
                <w:b/>
                <w:sz w:val="22"/>
                <w:szCs w:val="22"/>
              </w:rPr>
              <w:t xml:space="preserve"> </w:t>
            </w:r>
            <w:r w:rsidR="00325028">
              <w:rPr>
                <w:b/>
                <w:sz w:val="22"/>
                <w:szCs w:val="22"/>
              </w:rPr>
              <w:t>27 декабря 2019</w:t>
            </w:r>
            <w:r w:rsidRPr="00503E6B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503E6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03E6B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F090F64" w:rsidR="00062A76" w:rsidRPr="00503E6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03E6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503E6B">
              <w:rPr>
                <w:b/>
                <w:sz w:val="22"/>
                <w:szCs w:val="22"/>
              </w:rPr>
              <w:t xml:space="preserve"> </w:t>
            </w:r>
            <w:r w:rsidR="00325028">
              <w:rPr>
                <w:b/>
                <w:sz w:val="22"/>
                <w:szCs w:val="22"/>
              </w:rPr>
              <w:t>30 декабря 2019</w:t>
            </w:r>
            <w:bookmarkStart w:id="319" w:name="_GoBack"/>
            <w:bookmarkEnd w:id="319"/>
            <w:r w:rsidR="00310993" w:rsidRPr="00503E6B">
              <w:rPr>
                <w:b/>
                <w:sz w:val="22"/>
                <w:szCs w:val="22"/>
              </w:rPr>
              <w:t xml:space="preserve"> года</w:t>
            </w:r>
            <w:r w:rsidRPr="00503E6B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503E6B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144E9F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03E6B">
              <w:rPr>
                <w:sz w:val="22"/>
                <w:szCs w:val="22"/>
              </w:rPr>
              <w:t>Место рассмотрения</w:t>
            </w:r>
            <w:r>
              <w:rPr>
                <w:sz w:val="22"/>
                <w:szCs w:val="22"/>
              </w:rPr>
              <w:t xml:space="preserve">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B47BBD">
              <w:rPr>
                <w:b/>
                <w:sz w:val="22"/>
                <w:szCs w:val="22"/>
              </w:rPr>
              <w:t>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935004C" w:rsidR="00205740" w:rsidRPr="0063323B" w:rsidRDefault="00205740" w:rsidP="00503E6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503E6B">
              <w:rPr>
                <w:sz w:val="22"/>
                <w:szCs w:val="22"/>
              </w:rPr>
              <w:t xml:space="preserve">закупке: </w:t>
            </w:r>
            <w:r w:rsidR="00503E6B" w:rsidRPr="00503E6B">
              <w:rPr>
                <w:b/>
                <w:sz w:val="22"/>
                <w:szCs w:val="22"/>
              </w:rPr>
              <w:t>26 ноября</w:t>
            </w:r>
            <w:r w:rsidRPr="00503E6B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503E6B">
              <w:rPr>
                <w:b/>
                <w:sz w:val="22"/>
                <w:szCs w:val="22"/>
              </w:rPr>
              <w:t>(время московское)</w:t>
            </w:r>
            <w:r w:rsidR="002660B0" w:rsidRPr="00503E6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C31C838" w:rsidR="00205740" w:rsidRPr="00B47BBD" w:rsidRDefault="00B47BB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</w:t>
            </w:r>
            <w:r w:rsidR="00FC0A54" w:rsidRPr="00B47BB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B47BB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</w:t>
            </w:r>
            <w:r w:rsidRPr="00B47BBD">
              <w:rPr>
                <w:rStyle w:val="15"/>
                <w:b w:val="0"/>
                <w:bCs w:val="0"/>
                <w:sz w:val="22"/>
                <w:szCs w:val="22"/>
              </w:rPr>
              <w:t xml:space="preserve">ОБРАЗЦЫ ФОРМ ДЛЯ ЗАПОЛНЕНИЯ УЧАСТНИКАМИ </w:t>
            </w:r>
            <w:r w:rsidRPr="00B47BBD">
              <w:rPr>
                <w:sz w:val="22"/>
                <w:szCs w:val="22"/>
              </w:rPr>
              <w:t>ЗАКУПКИ»).</w:t>
            </w:r>
          </w:p>
          <w:p w14:paraId="101AEAC3" w14:textId="41EBEB3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B47BBD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5F33D9F1" w14:textId="16FF9568" w:rsidR="00677152" w:rsidRPr="00B47BBD" w:rsidRDefault="00677152" w:rsidP="007D729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B47BBD">
              <w:rPr>
                <w:sz w:val="22"/>
                <w:szCs w:val="22"/>
              </w:rPr>
              <w:t xml:space="preserve">стоимости </w:t>
            </w:r>
            <w:r w:rsidR="00B47BBD" w:rsidRPr="00B47BBD">
              <w:rPr>
                <w:sz w:val="22"/>
                <w:szCs w:val="22"/>
              </w:rPr>
              <w:t xml:space="preserve">поставок </w:t>
            </w:r>
            <w:r w:rsidRPr="00B47BBD">
              <w:rPr>
                <w:bCs/>
                <w:sz w:val="22"/>
                <w:szCs w:val="22"/>
              </w:rPr>
              <w:t>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7D729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7D7292" w:rsidRPr="007D7292">
              <w:rPr>
                <w:bCs/>
                <w:sz w:val="22"/>
                <w:szCs w:val="22"/>
              </w:rPr>
              <w:t>)</w:t>
            </w:r>
            <w:r w:rsidRPr="007D7292">
              <w:rPr>
                <w:bCs/>
                <w:sz w:val="22"/>
                <w:szCs w:val="22"/>
              </w:rPr>
              <w:t>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63323B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4D1190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</w:t>
            </w:r>
            <w:r w:rsidRPr="004D1190">
              <w:rPr>
                <w:rFonts w:eastAsia="Arial Unicode MS"/>
                <w:sz w:val="22"/>
                <w:szCs w:val="22"/>
              </w:rPr>
              <w:t>, работ, услуг отдельными видами юридических лиц»</w:t>
            </w:r>
            <w:r w:rsidRPr="004D1190">
              <w:rPr>
                <w:sz w:val="22"/>
                <w:szCs w:val="22"/>
              </w:rPr>
              <w:t xml:space="preserve"> либо в </w:t>
            </w:r>
            <w:r w:rsidRPr="004D1190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4D1190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4D1190">
              <w:rPr>
                <w:sz w:val="22"/>
                <w:szCs w:val="22"/>
              </w:rPr>
              <w:fldChar w:fldCharType="begin"/>
            </w:r>
            <w:r w:rsidRPr="004D1190">
              <w:rPr>
                <w:sz w:val="22"/>
                <w:szCs w:val="22"/>
              </w:rPr>
              <w:instrText xml:space="preserve"> REF _Ref701655 \r \h  \* MERGEFORMAT </w:instrText>
            </w:r>
            <w:r w:rsidRPr="004D1190">
              <w:rPr>
                <w:sz w:val="22"/>
                <w:szCs w:val="22"/>
              </w:rPr>
            </w:r>
            <w:r w:rsidRPr="004D1190">
              <w:rPr>
                <w:sz w:val="22"/>
                <w:szCs w:val="22"/>
              </w:rPr>
              <w:fldChar w:fldCharType="separate"/>
            </w:r>
            <w:r w:rsidR="00DD0F55" w:rsidRPr="004D1190">
              <w:rPr>
                <w:sz w:val="22"/>
                <w:szCs w:val="22"/>
              </w:rPr>
              <w:t>17</w:t>
            </w:r>
            <w:r w:rsidRPr="004D1190">
              <w:rPr>
                <w:sz w:val="22"/>
                <w:szCs w:val="22"/>
              </w:rPr>
              <w:fldChar w:fldCharType="end"/>
            </w:r>
            <w:r w:rsidRPr="004D1190">
              <w:rPr>
                <w:sz w:val="22"/>
                <w:szCs w:val="22"/>
              </w:rPr>
              <w:t xml:space="preserve"> части </w:t>
            </w:r>
            <w:r w:rsidRPr="004D1190">
              <w:rPr>
                <w:sz w:val="22"/>
                <w:szCs w:val="22"/>
                <w:lang w:val="en-US"/>
              </w:rPr>
              <w:t>IV</w:t>
            </w:r>
            <w:r w:rsidRPr="004D1190">
              <w:rPr>
                <w:sz w:val="22"/>
                <w:szCs w:val="22"/>
              </w:rPr>
              <w:t xml:space="preserve"> «ИНФОРМАЦИОННАЯ КАРТА ЗАКУПКИ»)</w:t>
            </w:r>
            <w:r w:rsidRPr="004D1190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4D1190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B5881C8" w14:textId="77777777" w:rsidR="004D1190" w:rsidRPr="004D1190" w:rsidRDefault="004D1190" w:rsidP="004D1190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D1190">
              <w:rPr>
                <w:sz w:val="22"/>
                <w:szCs w:val="22"/>
              </w:rPr>
              <w:t xml:space="preserve">не должен </w:t>
            </w:r>
            <w:r w:rsidRPr="004D1190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4D1190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4D1190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D1190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D1190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C9BB447" w:rsidR="004A2B9B" w:rsidRPr="004A2B9B" w:rsidRDefault="004D1190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D1190">
              <w:rPr>
                <w:sz w:val="22"/>
                <w:szCs w:val="22"/>
              </w:rPr>
              <w:lastRenderedPageBreak/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в размере более 20%  от суммы начальной (максимальной) стоимости данной закупки (суммарно)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</w:t>
            </w:r>
            <w:r w:rsidRPr="004A2B9B">
              <w:rPr>
                <w:sz w:val="22"/>
                <w:szCs w:val="22"/>
              </w:rPr>
              <w:t xml:space="preserve">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B47BBD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B47BBD">
              <w:rPr>
                <w:bCs/>
                <w:sz w:val="22"/>
                <w:szCs w:val="22"/>
              </w:rPr>
              <w:t>закупочная</w:t>
            </w:r>
            <w:r w:rsidRPr="00B47BB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47BB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26E55A87" w:rsidR="00205740" w:rsidRPr="00B47BBD" w:rsidRDefault="00184461" w:rsidP="00B47BBD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</w:t>
            </w:r>
            <w:r w:rsidRPr="00B47BBD">
              <w:rPr>
                <w:sz w:val="22"/>
                <w:szCs w:val="22"/>
              </w:rPr>
              <w:lastRenderedPageBreak/>
              <w:t>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D7292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D72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D72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D72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D72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D72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D72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7D72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D72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D72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</w:t>
            </w:r>
            <w:r w:rsidRPr="0063323B">
              <w:rPr>
                <w:sz w:val="22"/>
                <w:szCs w:val="22"/>
              </w:rPr>
              <w:lastRenderedPageBreak/>
              <w:t>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47CEC143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61D90779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63323B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63323B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B47BB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B47BBD">
              <w:rPr>
                <w:sz w:val="22"/>
                <w:szCs w:val="22"/>
              </w:rPr>
              <w:t xml:space="preserve">части </w:t>
            </w:r>
            <w:r w:rsidR="003A69DA" w:rsidRPr="00B47BBD">
              <w:rPr>
                <w:sz w:val="22"/>
                <w:szCs w:val="22"/>
                <w:lang w:val="en-US"/>
              </w:rPr>
              <w:t>IV</w:t>
            </w:r>
            <w:r w:rsidR="003A69DA" w:rsidRPr="00B47BBD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B47BBD">
              <w:rPr>
                <w:sz w:val="22"/>
                <w:szCs w:val="22"/>
              </w:rPr>
              <w:t xml:space="preserve">. </w:t>
            </w:r>
            <w:r w:rsidR="000A2E3D" w:rsidRPr="00B47BBD">
              <w:t>Данная справка не предоставляется, если предметом закупки является только поставка продукции</w:t>
            </w:r>
            <w:r w:rsidRPr="00B47BB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Справку о материально-технических ресурсах, которые будут использованы в</w:t>
            </w:r>
            <w:r w:rsidRPr="0063323B">
              <w:rPr>
                <w:sz w:val="22"/>
                <w:szCs w:val="22"/>
              </w:rPr>
              <w:t xml:space="preserve">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D1190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соответствии с </w:t>
            </w:r>
            <w:r w:rsidRPr="004D1190">
              <w:rPr>
                <w:sz w:val="22"/>
                <w:szCs w:val="22"/>
              </w:rPr>
              <w:t>инструкциями, приведенными в настоящей Документации (часть III. «ОБРАЗЦЫ ФОРМ ДЛЯ ЗАПОЛНЕНИЯ УЧАСТНИКАМИ ЗАКУПКИ»)</w:t>
            </w:r>
            <w:r w:rsidRPr="004D1190">
              <w:rPr>
                <w:sz w:val="22"/>
                <w:szCs w:val="22"/>
                <w:lang w:eastAsia="en-US"/>
              </w:rPr>
              <w:t>;</w:t>
            </w:r>
          </w:p>
          <w:p w14:paraId="69E4B918" w14:textId="069DCDC6" w:rsidR="004D1190" w:rsidRPr="004D1190" w:rsidRDefault="004D1190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D1190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4D1190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</w:t>
            </w:r>
            <w:r w:rsidRPr="004D1190">
              <w:rPr>
                <w:sz w:val="22"/>
                <w:szCs w:val="22"/>
              </w:rPr>
              <w:lastRenderedPageBreak/>
              <w:t>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4D1190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D1190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</w:t>
            </w:r>
            <w:r w:rsidRPr="0063323B">
              <w:rPr>
                <w:sz w:val="22"/>
                <w:szCs w:val="22"/>
              </w:rPr>
              <w:t>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B47BB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B47BBD">
              <w:rPr>
                <w:sz w:val="22"/>
                <w:szCs w:val="22"/>
              </w:rPr>
              <w:lastRenderedPageBreak/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47BBD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B47BB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(</w:t>
            </w:r>
            <w:r w:rsidR="00C121BB" w:rsidRPr="00B47BBD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B47BBD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B47BBD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B47BBD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3A0D2963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установлено.</w:t>
            </w:r>
          </w:p>
        </w:tc>
      </w:tr>
      <w:tr w:rsidR="00B47BBD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748EE054" w:rsidR="00B47BBD" w:rsidRPr="0063323B" w:rsidRDefault="00B47BBD" w:rsidP="00B47BB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Не требуется.</w:t>
            </w:r>
          </w:p>
        </w:tc>
      </w:tr>
      <w:tr w:rsidR="00B47BBD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8F354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6BBCA4F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этом,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4D4D2F03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а) не может превышать 5 процентов начальной (максимальной) цены договора </w:t>
            </w:r>
            <w:r w:rsidRPr="00F95452">
              <w:rPr>
                <w:b/>
                <w:sz w:val="22"/>
                <w:szCs w:val="22"/>
              </w:rPr>
              <w:lastRenderedPageBreak/>
              <w:t>(цены лота), если договором не предусмотрена выплата аванса;</w:t>
            </w:r>
          </w:p>
          <w:p w14:paraId="251158AA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5832BAE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342F7559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B47BBD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DD8F93A" w:rsidR="00B47BBD" w:rsidRPr="00B47BBD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87918CC" w:rsidR="00B47BBD" w:rsidRPr="00B47BBD" w:rsidRDefault="00B47BBD" w:rsidP="00B47BBD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4BADD3DC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B47BBD">
              <w:rPr>
                <w:sz w:val="22"/>
                <w:szCs w:val="22"/>
              </w:rPr>
              <w:lastRenderedPageBreak/>
              <w:t>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201BD474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B47BBD"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предоставление</w:t>
            </w:r>
            <w:r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47BBD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47BBD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682DDE5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47BBD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B40FFF7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98087" w14:textId="77777777" w:rsidR="001E7115" w:rsidRDefault="001E7115">
      <w:r>
        <w:separator/>
      </w:r>
    </w:p>
    <w:p w14:paraId="3814B9BF" w14:textId="77777777" w:rsidR="001E7115" w:rsidRDefault="001E7115"/>
  </w:endnote>
  <w:endnote w:type="continuationSeparator" w:id="0">
    <w:p w14:paraId="7DD9CE86" w14:textId="77777777" w:rsidR="001E7115" w:rsidRDefault="001E7115">
      <w:r>
        <w:continuationSeparator/>
      </w:r>
    </w:p>
    <w:p w14:paraId="27D4D7C7" w14:textId="77777777" w:rsidR="001E7115" w:rsidRDefault="001E7115"/>
  </w:endnote>
  <w:endnote w:type="continuationNotice" w:id="1">
    <w:p w14:paraId="1DE45834" w14:textId="77777777" w:rsidR="001E7115" w:rsidRDefault="001E711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0F27DF" w:rsidRPr="00FA0376" w:rsidRDefault="000F27D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0F27DF" w:rsidRPr="00902488" w:rsidRDefault="000F27D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0F27DF" w:rsidRPr="00401A97" w:rsidRDefault="000F27DF" w:rsidP="007D7292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7D7292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25028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7D7292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25028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F27DF" w:rsidRPr="00401A97" w:rsidRDefault="000F27DF" w:rsidP="007D7292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09875E0" w:rsidR="000F27DF" w:rsidRPr="007D7292" w:rsidRDefault="000F27D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7D7292">
              <w:rPr>
                <w:bCs/>
                <w:sz w:val="16"/>
                <w:szCs w:val="16"/>
              </w:rPr>
              <w:t>Договора на поставку комплектующих РЗА для нужд ПАО «МРСК Центра» (филиала 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F2302" w14:textId="77777777" w:rsidR="001E7115" w:rsidRDefault="001E7115">
      <w:r>
        <w:separator/>
      </w:r>
    </w:p>
    <w:p w14:paraId="415EC43D" w14:textId="77777777" w:rsidR="001E7115" w:rsidRDefault="001E7115"/>
  </w:footnote>
  <w:footnote w:type="continuationSeparator" w:id="0">
    <w:p w14:paraId="3E1BC1AE" w14:textId="77777777" w:rsidR="001E7115" w:rsidRDefault="001E7115">
      <w:r>
        <w:continuationSeparator/>
      </w:r>
    </w:p>
    <w:p w14:paraId="49E1F2F9" w14:textId="77777777" w:rsidR="001E7115" w:rsidRDefault="001E7115"/>
  </w:footnote>
  <w:footnote w:type="continuationNotice" w:id="1">
    <w:p w14:paraId="4DB5A3C2" w14:textId="77777777" w:rsidR="001E7115" w:rsidRDefault="001E711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0F27DF" w:rsidRPr="00401A97" w:rsidRDefault="000F27D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0F27DF" w:rsidRPr="003C47E7" w:rsidRDefault="000F27D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27D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7DF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42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115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028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190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3E6B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292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21C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36C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BBD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065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25D1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3A38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3CC5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796DB-6246-4CF7-BED6-EBEC360D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49</Pages>
  <Words>20560</Words>
  <Characters>117195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126</cp:revision>
  <cp:lastPrinted>2019-01-16T10:14:00Z</cp:lastPrinted>
  <dcterms:created xsi:type="dcterms:W3CDTF">2019-02-11T09:09:00Z</dcterms:created>
  <dcterms:modified xsi:type="dcterms:W3CDTF">2019-11-21T11:50:00Z</dcterms:modified>
</cp:coreProperties>
</file>