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2741AC" w:rsidTr="003661F4">
        <w:trPr>
          <w:trHeight w:val="1821"/>
        </w:trPr>
        <w:tc>
          <w:tcPr>
            <w:tcW w:w="7236" w:type="dxa"/>
          </w:tcPr>
          <w:p w:rsidR="003661F4" w:rsidRPr="002741AC" w:rsidRDefault="003661F4" w:rsidP="00AC01D1">
            <w:pPr>
              <w:pStyle w:val="a3"/>
              <w:rPr>
                <w:b/>
                <w:sz w:val="24"/>
              </w:rPr>
            </w:pPr>
            <w:r w:rsidRPr="002741AC">
              <w:rPr>
                <w:b/>
                <w:sz w:val="24"/>
              </w:rPr>
              <w:t>УТВЕРЖДАЮ:</w:t>
            </w:r>
          </w:p>
          <w:p w:rsidR="003661F4" w:rsidRPr="002741AC" w:rsidRDefault="003661F4" w:rsidP="00AC01D1">
            <w:pPr>
              <w:pStyle w:val="a3"/>
              <w:keepNext/>
              <w:rPr>
                <w:b/>
                <w:bCs/>
                <w:color w:val="000000"/>
                <w:sz w:val="24"/>
              </w:rPr>
            </w:pP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2741AC">
              <w:rPr>
                <w:b/>
                <w:snapToGrid/>
                <w:sz w:val="24"/>
                <w:szCs w:val="24"/>
              </w:rPr>
              <w:t>Начальник управления собственностью</w:t>
            </w:r>
          </w:p>
          <w:p w:rsidR="003661F4" w:rsidRPr="002741AC" w:rsidRDefault="006848CD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741AC">
              <w:rPr>
                <w:b/>
                <w:sz w:val="24"/>
                <w:szCs w:val="24"/>
              </w:rPr>
              <w:t>ф</w:t>
            </w:r>
            <w:r w:rsidR="003661F4" w:rsidRPr="002741AC">
              <w:rPr>
                <w:b/>
                <w:sz w:val="24"/>
                <w:szCs w:val="24"/>
              </w:rPr>
              <w:t>илиала ПАО </w:t>
            </w:r>
            <w:r w:rsidR="00AC01D1" w:rsidRPr="002741AC">
              <w:rPr>
                <w:b/>
                <w:sz w:val="24"/>
                <w:szCs w:val="24"/>
              </w:rPr>
              <w:t>«</w:t>
            </w:r>
            <w:r w:rsidR="003661F4" w:rsidRPr="002741AC">
              <w:rPr>
                <w:b/>
                <w:sz w:val="24"/>
                <w:szCs w:val="24"/>
              </w:rPr>
              <w:t>МРСК Центра</w:t>
            </w:r>
            <w:r w:rsidR="00AC01D1" w:rsidRPr="002741AC">
              <w:rPr>
                <w:b/>
                <w:sz w:val="24"/>
                <w:szCs w:val="24"/>
              </w:rPr>
              <w:t xml:space="preserve">» </w:t>
            </w:r>
            <w:r w:rsidR="003661F4" w:rsidRPr="002741AC">
              <w:rPr>
                <w:b/>
                <w:sz w:val="24"/>
                <w:szCs w:val="24"/>
              </w:rPr>
              <w:noBreakHyphen/>
            </w:r>
            <w:r w:rsidR="00F124E1" w:rsidRPr="002741AC">
              <w:rPr>
                <w:b/>
                <w:sz w:val="24"/>
                <w:szCs w:val="24"/>
              </w:rPr>
              <w:t xml:space="preserve"> «</w:t>
            </w:r>
            <w:r w:rsidR="00727A41">
              <w:rPr>
                <w:b/>
                <w:sz w:val="24"/>
                <w:szCs w:val="24"/>
              </w:rPr>
              <w:t>Брянск</w:t>
            </w:r>
            <w:r w:rsidR="00EC03A2" w:rsidRPr="002741AC">
              <w:rPr>
                <w:b/>
                <w:sz w:val="24"/>
                <w:szCs w:val="24"/>
              </w:rPr>
              <w:t>энерго</w:t>
            </w:r>
            <w:r w:rsidR="00AC01D1" w:rsidRPr="002741AC">
              <w:rPr>
                <w:b/>
                <w:sz w:val="24"/>
                <w:szCs w:val="24"/>
              </w:rPr>
              <w:t>»</w:t>
            </w: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661F4" w:rsidRPr="002741AC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741AC">
              <w:rPr>
                <w:b/>
                <w:sz w:val="24"/>
                <w:szCs w:val="24"/>
              </w:rPr>
              <w:t>_______________________ /</w:t>
            </w:r>
            <w:r w:rsidR="00727A41">
              <w:rPr>
                <w:b/>
                <w:sz w:val="24"/>
                <w:szCs w:val="24"/>
              </w:rPr>
              <w:t>Пучков А.В.</w:t>
            </w:r>
            <w:r w:rsidRPr="002741AC">
              <w:rPr>
                <w:b/>
                <w:sz w:val="24"/>
                <w:szCs w:val="24"/>
              </w:rPr>
              <w:t>/</w:t>
            </w:r>
          </w:p>
          <w:p w:rsidR="003661F4" w:rsidRPr="002741AC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4"/>
                <w:szCs w:val="24"/>
              </w:rPr>
            </w:pPr>
            <w:r w:rsidRPr="002741AC">
              <w:rPr>
                <w:b/>
                <w:color w:val="000000"/>
                <w:sz w:val="24"/>
                <w:szCs w:val="24"/>
              </w:rPr>
              <w:t>подпись</w:t>
            </w:r>
          </w:p>
          <w:p w:rsidR="003661F4" w:rsidRPr="002741AC" w:rsidRDefault="003661F4" w:rsidP="003833C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41AC">
              <w:rPr>
                <w:b/>
                <w:color w:val="000000"/>
                <w:sz w:val="24"/>
                <w:szCs w:val="24"/>
              </w:rPr>
              <w:t>«</w:t>
            </w:r>
            <w:r w:rsidR="007A0856" w:rsidRPr="002741AC">
              <w:rPr>
                <w:b/>
                <w:color w:val="000000"/>
                <w:sz w:val="24"/>
                <w:szCs w:val="24"/>
              </w:rPr>
              <w:t xml:space="preserve">___» </w:t>
            </w:r>
            <w:r w:rsidR="00AC01D1" w:rsidRPr="002741AC">
              <w:rPr>
                <w:b/>
                <w:color w:val="000000"/>
                <w:sz w:val="24"/>
                <w:szCs w:val="24"/>
              </w:rPr>
              <w:t xml:space="preserve">______________ </w:t>
            </w:r>
            <w:r w:rsidR="007A0856" w:rsidRPr="002741AC">
              <w:rPr>
                <w:b/>
                <w:color w:val="000000"/>
                <w:sz w:val="24"/>
                <w:szCs w:val="24"/>
              </w:rPr>
              <w:t>201</w:t>
            </w:r>
            <w:r w:rsidR="003833C7">
              <w:rPr>
                <w:b/>
                <w:color w:val="000000"/>
                <w:sz w:val="24"/>
                <w:szCs w:val="24"/>
              </w:rPr>
              <w:t>9</w:t>
            </w:r>
            <w:r w:rsidRPr="002741AC">
              <w:rPr>
                <w:b/>
                <w:color w:val="000000"/>
                <w:sz w:val="24"/>
                <w:szCs w:val="24"/>
              </w:rPr>
              <w:t> г.</w:t>
            </w:r>
          </w:p>
        </w:tc>
      </w:tr>
    </w:tbl>
    <w:p w:rsidR="00AC01D1" w:rsidRPr="002741AC" w:rsidRDefault="00AC01D1" w:rsidP="00AC01D1">
      <w:pPr>
        <w:ind w:firstLine="0"/>
        <w:jc w:val="center"/>
        <w:rPr>
          <w:b/>
          <w:sz w:val="24"/>
          <w:szCs w:val="24"/>
        </w:rPr>
      </w:pPr>
    </w:p>
    <w:p w:rsidR="00AB7882" w:rsidRPr="002741AC" w:rsidRDefault="00AB7882" w:rsidP="00AC01D1">
      <w:pPr>
        <w:ind w:firstLine="0"/>
        <w:jc w:val="center"/>
        <w:rPr>
          <w:b/>
          <w:sz w:val="24"/>
          <w:szCs w:val="24"/>
        </w:rPr>
      </w:pPr>
      <w:r w:rsidRPr="002741AC">
        <w:rPr>
          <w:b/>
          <w:sz w:val="24"/>
          <w:szCs w:val="24"/>
        </w:rPr>
        <w:t>ЗАДАНИЕ</w:t>
      </w:r>
      <w:r w:rsidR="00C8322C">
        <w:rPr>
          <w:b/>
          <w:sz w:val="24"/>
          <w:szCs w:val="24"/>
        </w:rPr>
        <w:t xml:space="preserve"> НА ОЦЕНКУ</w:t>
      </w:r>
    </w:p>
    <w:p w:rsidR="00A233A4" w:rsidRDefault="00363995" w:rsidP="00A233A4">
      <w:pPr>
        <w:pStyle w:val="a5"/>
        <w:keepNext/>
        <w:spacing w:line="240" w:lineRule="auto"/>
        <w:ind w:left="705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проведению запроса цен </w:t>
      </w:r>
      <w:r w:rsidR="00A233A4" w:rsidRPr="00036491">
        <w:rPr>
          <w:rFonts w:ascii="Times New Roman" w:hAnsi="Times New Roman"/>
          <w:b/>
          <w:sz w:val="26"/>
          <w:szCs w:val="26"/>
        </w:rPr>
        <w:t xml:space="preserve"> на оказание услуг </w:t>
      </w:r>
      <w:r>
        <w:rPr>
          <w:rFonts w:ascii="Times New Roman" w:hAnsi="Times New Roman"/>
          <w:b/>
          <w:sz w:val="26"/>
          <w:szCs w:val="26"/>
        </w:rPr>
        <w:t>по</w:t>
      </w:r>
      <w:r w:rsidR="00A233A4" w:rsidRPr="00036491">
        <w:rPr>
          <w:rFonts w:ascii="Times New Roman" w:hAnsi="Times New Roman"/>
          <w:b/>
          <w:sz w:val="26"/>
          <w:szCs w:val="26"/>
        </w:rPr>
        <w:t xml:space="preserve"> оценк</w:t>
      </w:r>
      <w:r>
        <w:rPr>
          <w:rFonts w:ascii="Times New Roman" w:hAnsi="Times New Roman"/>
          <w:b/>
          <w:sz w:val="26"/>
          <w:szCs w:val="26"/>
        </w:rPr>
        <w:t>е</w:t>
      </w:r>
      <w:r w:rsidR="00A233A4" w:rsidRPr="00036491">
        <w:rPr>
          <w:rFonts w:ascii="Times New Roman" w:hAnsi="Times New Roman"/>
          <w:b/>
          <w:sz w:val="26"/>
          <w:szCs w:val="26"/>
        </w:rPr>
        <w:t xml:space="preserve"> рыночной стоимости </w:t>
      </w:r>
      <w:r w:rsidR="00C8322C">
        <w:rPr>
          <w:rFonts w:ascii="Times New Roman" w:hAnsi="Times New Roman"/>
          <w:b/>
          <w:sz w:val="26"/>
          <w:szCs w:val="26"/>
        </w:rPr>
        <w:t xml:space="preserve">недвижимого имущества </w:t>
      </w:r>
    </w:p>
    <w:p w:rsidR="00AB7882" w:rsidRPr="002741A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ОБЩИЕ ДАННЫЕ</w:t>
      </w:r>
    </w:p>
    <w:p w:rsidR="005463F3" w:rsidRPr="002741A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 xml:space="preserve">Предмет запроса </w:t>
      </w:r>
      <w:r w:rsidR="009B267B" w:rsidRPr="002741AC">
        <w:rPr>
          <w:rFonts w:ascii="Times New Roman" w:hAnsi="Times New Roman"/>
          <w:b/>
          <w:sz w:val="24"/>
          <w:szCs w:val="24"/>
        </w:rPr>
        <w:t>цен</w:t>
      </w:r>
      <w:r w:rsidRPr="002741AC">
        <w:rPr>
          <w:rFonts w:ascii="Times New Roman" w:hAnsi="Times New Roman"/>
          <w:b/>
          <w:sz w:val="24"/>
          <w:szCs w:val="24"/>
        </w:rPr>
        <w:t>:</w:t>
      </w:r>
    </w:p>
    <w:p w:rsidR="00A233A4" w:rsidRDefault="00A233A4" w:rsidP="00946DFA">
      <w:pPr>
        <w:widowControl w:val="0"/>
        <w:tabs>
          <w:tab w:val="num" w:pos="1134"/>
        </w:tabs>
        <w:spacing w:line="240" w:lineRule="auto"/>
        <w:rPr>
          <w:sz w:val="24"/>
          <w:szCs w:val="24"/>
        </w:rPr>
      </w:pPr>
      <w:r w:rsidRPr="00FA60F3">
        <w:rPr>
          <w:sz w:val="24"/>
          <w:szCs w:val="24"/>
        </w:rPr>
        <w:t xml:space="preserve">Проводится </w:t>
      </w:r>
      <w:r w:rsidR="00363995">
        <w:rPr>
          <w:sz w:val="24"/>
          <w:szCs w:val="24"/>
        </w:rPr>
        <w:t>запрос цен</w:t>
      </w:r>
      <w:r w:rsidRPr="00FA60F3">
        <w:rPr>
          <w:sz w:val="24"/>
          <w:szCs w:val="24"/>
        </w:rPr>
        <w:t xml:space="preserve"> на оказание услуг (на право заключения Договора на оказание услуг)</w:t>
      </w:r>
      <w:r>
        <w:rPr>
          <w:sz w:val="24"/>
          <w:szCs w:val="24"/>
        </w:rPr>
        <w:t xml:space="preserve"> </w:t>
      </w:r>
      <w:r w:rsidR="00C8322C">
        <w:rPr>
          <w:sz w:val="24"/>
          <w:szCs w:val="24"/>
        </w:rPr>
        <w:t>по оценке</w:t>
      </w:r>
      <w:r>
        <w:rPr>
          <w:sz w:val="24"/>
          <w:szCs w:val="24"/>
        </w:rPr>
        <w:t xml:space="preserve"> </w:t>
      </w:r>
      <w:r w:rsidRPr="00FA60F3">
        <w:rPr>
          <w:sz w:val="24"/>
          <w:szCs w:val="24"/>
        </w:rPr>
        <w:t xml:space="preserve">рыночной стоимости </w:t>
      </w:r>
      <w:r w:rsidR="00C8322C">
        <w:rPr>
          <w:sz w:val="24"/>
          <w:szCs w:val="24"/>
        </w:rPr>
        <w:t xml:space="preserve">недвижимого </w:t>
      </w:r>
      <w:r w:rsidRPr="00FA60F3">
        <w:rPr>
          <w:sz w:val="24"/>
          <w:szCs w:val="24"/>
        </w:rPr>
        <w:t>имущества</w:t>
      </w:r>
      <w:r>
        <w:rPr>
          <w:sz w:val="24"/>
          <w:szCs w:val="24"/>
        </w:rPr>
        <w:t>.</w:t>
      </w:r>
    </w:p>
    <w:p w:rsidR="00AB7882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 xml:space="preserve">Объект оценки: </w:t>
      </w:r>
    </w:p>
    <w:p w:rsidR="0094320B" w:rsidRPr="0094320B" w:rsidRDefault="0094320B" w:rsidP="0094320B">
      <w:pPr>
        <w:pStyle w:val="af0"/>
        <w:ind w:left="705"/>
        <w:jc w:val="center"/>
        <w:rPr>
          <w:snapToGrid w:val="0"/>
          <w:sz w:val="20"/>
          <w:szCs w:val="24"/>
        </w:rPr>
      </w:pPr>
    </w:p>
    <w:tbl>
      <w:tblPr>
        <w:tblW w:w="5314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218"/>
        <w:gridCol w:w="1662"/>
        <w:gridCol w:w="1875"/>
        <w:gridCol w:w="1517"/>
        <w:gridCol w:w="1045"/>
        <w:gridCol w:w="1662"/>
      </w:tblGrid>
      <w:tr w:rsidR="00ED02E3" w:rsidRPr="001F5CFE" w:rsidTr="0038488B">
        <w:trPr>
          <w:cantSplit/>
          <w:trHeight w:val="23"/>
          <w:tblHeader/>
        </w:trPr>
        <w:tc>
          <w:tcPr>
            <w:tcW w:w="263" w:type="pct"/>
            <w:vAlign w:val="center"/>
          </w:tcPr>
          <w:p w:rsidR="0094320B" w:rsidRPr="0038488B" w:rsidRDefault="0094320B" w:rsidP="0094320B">
            <w:pPr>
              <w:spacing w:line="240" w:lineRule="auto"/>
              <w:ind w:firstLine="0"/>
              <w:contextualSpacing/>
              <w:rPr>
                <w:color w:val="000000"/>
                <w:sz w:val="21"/>
                <w:szCs w:val="21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1053" w:type="pct"/>
            <w:vAlign w:val="center"/>
          </w:tcPr>
          <w:p w:rsidR="0094320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Наименование по свидетельству о государственной собственности</w:t>
            </w:r>
          </w:p>
        </w:tc>
        <w:tc>
          <w:tcPr>
            <w:tcW w:w="789" w:type="pct"/>
            <w:vAlign w:val="center"/>
          </w:tcPr>
          <w:p w:rsidR="0094320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Наименование по бухгалтерскому учету</w:t>
            </w:r>
          </w:p>
        </w:tc>
        <w:tc>
          <w:tcPr>
            <w:tcW w:w="890" w:type="pct"/>
            <w:vAlign w:val="center"/>
          </w:tcPr>
          <w:p w:rsidR="0094320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Местоположение</w:t>
            </w:r>
          </w:p>
        </w:tc>
        <w:tc>
          <w:tcPr>
            <w:tcW w:w="720" w:type="pct"/>
            <w:vAlign w:val="center"/>
          </w:tcPr>
          <w:p w:rsidR="0094320B" w:rsidRPr="0038488B" w:rsidRDefault="0038488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Право удостоверяющий</w:t>
            </w:r>
            <w:r w:rsidR="0094320B"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 xml:space="preserve"> документ</w:t>
            </w:r>
          </w:p>
        </w:tc>
        <w:tc>
          <w:tcPr>
            <w:tcW w:w="496" w:type="pct"/>
            <w:vAlign w:val="center"/>
          </w:tcPr>
          <w:p w:rsidR="0094320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Инвентарный номер</w:t>
            </w:r>
          </w:p>
        </w:tc>
        <w:tc>
          <w:tcPr>
            <w:tcW w:w="789" w:type="pct"/>
            <w:vAlign w:val="center"/>
          </w:tcPr>
          <w:p w:rsidR="0038488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 xml:space="preserve">Балансовая (остаточная) стоимость по состоянию на </w:t>
            </w:r>
            <w:r w:rsidR="00767B38">
              <w:rPr>
                <w:rFonts w:eastAsiaTheme="minorHAnsi"/>
                <w:snapToGrid/>
                <w:sz w:val="21"/>
                <w:szCs w:val="21"/>
                <w:lang w:eastAsia="en-US"/>
              </w:rPr>
              <w:t>31</w:t>
            </w: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.</w:t>
            </w:r>
            <w:r w:rsidR="0038488B"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0</w:t>
            </w:r>
            <w:r w:rsidR="00767B38">
              <w:rPr>
                <w:rFonts w:eastAsiaTheme="minorHAnsi"/>
                <w:snapToGrid/>
                <w:sz w:val="21"/>
                <w:szCs w:val="21"/>
                <w:lang w:eastAsia="en-US"/>
              </w:rPr>
              <w:t>3</w:t>
            </w: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.201</w:t>
            </w:r>
            <w:r w:rsidR="0038488B"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9</w:t>
            </w:r>
          </w:p>
          <w:p w:rsidR="0094320B" w:rsidRPr="0038488B" w:rsidRDefault="0094320B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(</w:t>
            </w:r>
            <w:proofErr w:type="spellStart"/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тыс.руб</w:t>
            </w:r>
            <w:proofErr w:type="spellEnd"/>
            <w:r w:rsidRPr="0038488B">
              <w:rPr>
                <w:rFonts w:eastAsiaTheme="minorHAnsi"/>
                <w:snapToGrid/>
                <w:sz w:val="21"/>
                <w:szCs w:val="21"/>
                <w:lang w:eastAsia="en-US"/>
              </w:rPr>
              <w:t>.)</w:t>
            </w:r>
          </w:p>
        </w:tc>
      </w:tr>
      <w:tr w:rsidR="00767B38" w:rsidRPr="001F5CFE" w:rsidTr="00767B38">
        <w:trPr>
          <w:cantSplit/>
          <w:trHeight w:val="23"/>
          <w:tblHeader/>
        </w:trPr>
        <w:tc>
          <w:tcPr>
            <w:tcW w:w="5000" w:type="pct"/>
            <w:gridSpan w:val="7"/>
            <w:vAlign w:val="center"/>
          </w:tcPr>
          <w:p w:rsidR="00767B38" w:rsidRPr="00767B38" w:rsidRDefault="00767B38" w:rsidP="0038488B">
            <w:pPr>
              <w:spacing w:line="240" w:lineRule="auto"/>
              <w:ind w:firstLine="0"/>
              <w:contextualSpacing/>
              <w:jc w:val="center"/>
              <w:rPr>
                <w:rFonts w:eastAsiaTheme="minorHAnsi"/>
                <w:snapToGrid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napToGrid/>
                <w:sz w:val="21"/>
                <w:szCs w:val="21"/>
                <w:lang w:eastAsia="en-US"/>
              </w:rPr>
              <w:t>Недвижимое имущество</w:t>
            </w:r>
          </w:p>
        </w:tc>
      </w:tr>
      <w:tr w:rsidR="00713944" w:rsidRPr="0028393C" w:rsidTr="00647257">
        <w:trPr>
          <w:cantSplit/>
          <w:trHeight w:val="1985"/>
        </w:trPr>
        <w:tc>
          <w:tcPr>
            <w:tcW w:w="263" w:type="pct"/>
            <w:vAlign w:val="center"/>
          </w:tcPr>
          <w:p w:rsidR="00713944" w:rsidRPr="0038488B" w:rsidRDefault="00713944" w:rsidP="00713944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 w:rsidRPr="0038488B">
              <w:rPr>
                <w:b/>
                <w:color w:val="000000"/>
                <w:sz w:val="20"/>
              </w:rPr>
              <w:t>1.</w:t>
            </w:r>
          </w:p>
        </w:tc>
        <w:tc>
          <w:tcPr>
            <w:tcW w:w="1053" w:type="pct"/>
            <w:vAlign w:val="center"/>
          </w:tcPr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13944">
              <w:rPr>
                <w:sz w:val="20"/>
              </w:rPr>
              <w:t>Главный корпус</w:t>
            </w:r>
            <w:r>
              <w:rPr>
                <w:sz w:val="20"/>
              </w:rPr>
              <w:t xml:space="preserve">, назначение: нежилое, 2-этажный (подземных этажей - 1), общая площадь 930,2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89" w:type="pct"/>
            <w:vAlign w:val="center"/>
          </w:tcPr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13944">
              <w:rPr>
                <w:sz w:val="20"/>
              </w:rPr>
              <w:t>Главный корпус</w:t>
            </w:r>
          </w:p>
        </w:tc>
        <w:tc>
          <w:tcPr>
            <w:tcW w:w="890" w:type="pct"/>
            <w:vAlign w:val="center"/>
          </w:tcPr>
          <w:p w:rsidR="00713944" w:rsidRPr="00767B38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Свидетельство о государственной регистрации </w:t>
            </w:r>
            <w:proofErr w:type="gramStart"/>
            <w:r>
              <w:rPr>
                <w:sz w:val="20"/>
              </w:rPr>
              <w:t xml:space="preserve">права </w:t>
            </w:r>
            <w:r w:rsidRPr="00713944">
              <w:rPr>
                <w:sz w:val="20"/>
              </w:rPr>
              <w:t xml:space="preserve"> 32</w:t>
            </w:r>
            <w:proofErr w:type="gramEnd"/>
            <w:r w:rsidRPr="00713944">
              <w:rPr>
                <w:sz w:val="20"/>
              </w:rPr>
              <w:t>-АГ       № 905021 от 24.06.2011</w:t>
            </w:r>
            <w:r w:rsidRPr="0038488B">
              <w:rPr>
                <w:sz w:val="20"/>
              </w:rPr>
              <w:t>.</w:t>
            </w:r>
          </w:p>
        </w:tc>
        <w:tc>
          <w:tcPr>
            <w:tcW w:w="496" w:type="pct"/>
          </w:tcPr>
          <w:p w:rsidR="00713944" w:rsidRPr="00713944" w:rsidRDefault="00713944" w:rsidP="00713944">
            <w:pPr>
              <w:ind w:firstLine="0"/>
              <w:rPr>
                <w:sz w:val="20"/>
              </w:rPr>
            </w:pPr>
            <w:r w:rsidRPr="00713944">
              <w:rPr>
                <w:sz w:val="20"/>
              </w:rPr>
              <w:t>ЗС67</w:t>
            </w:r>
          </w:p>
        </w:tc>
        <w:tc>
          <w:tcPr>
            <w:tcW w:w="789" w:type="pct"/>
          </w:tcPr>
          <w:p w:rsidR="00713944" w:rsidRPr="00713944" w:rsidRDefault="00713944" w:rsidP="00713944">
            <w:pPr>
              <w:ind w:firstLine="0"/>
              <w:rPr>
                <w:sz w:val="20"/>
              </w:rPr>
            </w:pPr>
            <w:r w:rsidRPr="00713944">
              <w:rPr>
                <w:sz w:val="20"/>
              </w:rPr>
              <w:t>7 335 530,60</w:t>
            </w:r>
          </w:p>
        </w:tc>
      </w:tr>
      <w:tr w:rsidR="00713944" w:rsidRPr="0028393C" w:rsidTr="00647257">
        <w:trPr>
          <w:cantSplit/>
          <w:trHeight w:val="1985"/>
        </w:trPr>
        <w:tc>
          <w:tcPr>
            <w:tcW w:w="263" w:type="pct"/>
            <w:vAlign w:val="center"/>
          </w:tcPr>
          <w:p w:rsidR="00713944" w:rsidRPr="0038488B" w:rsidRDefault="00713944" w:rsidP="00713944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2.</w:t>
            </w:r>
          </w:p>
        </w:tc>
        <w:tc>
          <w:tcPr>
            <w:tcW w:w="1053" w:type="pct"/>
            <w:vAlign w:val="center"/>
          </w:tcPr>
          <w:p w:rsidR="00713944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13944">
              <w:rPr>
                <w:sz w:val="20"/>
              </w:rPr>
              <w:t>Служебно-бытовой корпус РПБ</w:t>
            </w:r>
            <w:r>
              <w:rPr>
                <w:sz w:val="20"/>
              </w:rPr>
              <w:t xml:space="preserve">, назначение: нежилое, 1-этажный, общая площадь 276, 1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89" w:type="pct"/>
            <w:vAlign w:val="center"/>
          </w:tcPr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13944">
              <w:rPr>
                <w:sz w:val="20"/>
              </w:rPr>
              <w:t>Служебно-бытовой корпус РПБ</w:t>
            </w:r>
          </w:p>
        </w:tc>
        <w:tc>
          <w:tcPr>
            <w:tcW w:w="890" w:type="pct"/>
            <w:vAlign w:val="center"/>
          </w:tcPr>
          <w:p w:rsidR="00713944" w:rsidRPr="00767B38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13944" w:rsidRPr="0038488B" w:rsidRDefault="00713944" w:rsidP="00713944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 w:rsidRPr="00713944">
              <w:rPr>
                <w:sz w:val="20"/>
              </w:rPr>
              <w:t>Свидетельство о гос</w:t>
            </w:r>
            <w:r>
              <w:rPr>
                <w:sz w:val="20"/>
              </w:rPr>
              <w:t xml:space="preserve">ударственной регистрации права </w:t>
            </w:r>
            <w:bookmarkStart w:id="0" w:name="_GoBack"/>
            <w:bookmarkEnd w:id="0"/>
            <w:r w:rsidRPr="00713944">
              <w:rPr>
                <w:sz w:val="20"/>
              </w:rPr>
              <w:t>серии 32-АГ №332193 от 07.06.2008</w:t>
            </w:r>
          </w:p>
        </w:tc>
        <w:tc>
          <w:tcPr>
            <w:tcW w:w="496" w:type="pct"/>
          </w:tcPr>
          <w:p w:rsidR="00713944" w:rsidRPr="00713944" w:rsidRDefault="00713944" w:rsidP="00713944">
            <w:pPr>
              <w:ind w:firstLine="0"/>
              <w:rPr>
                <w:sz w:val="20"/>
              </w:rPr>
            </w:pPr>
            <w:r w:rsidRPr="00713944">
              <w:rPr>
                <w:sz w:val="20"/>
              </w:rPr>
              <w:t>ЗС1093А</w:t>
            </w:r>
          </w:p>
        </w:tc>
        <w:tc>
          <w:tcPr>
            <w:tcW w:w="789" w:type="pct"/>
          </w:tcPr>
          <w:p w:rsidR="00713944" w:rsidRPr="00713944" w:rsidRDefault="00713944" w:rsidP="00713944">
            <w:pPr>
              <w:ind w:firstLine="0"/>
              <w:rPr>
                <w:sz w:val="20"/>
              </w:rPr>
            </w:pPr>
            <w:r w:rsidRPr="00713944">
              <w:rPr>
                <w:sz w:val="20"/>
              </w:rPr>
              <w:t>10 751 413,29</w:t>
            </w:r>
          </w:p>
        </w:tc>
      </w:tr>
      <w:tr w:rsidR="00767B38" w:rsidRPr="0028393C" w:rsidTr="00767B38">
        <w:trPr>
          <w:cantSplit/>
          <w:trHeight w:val="431"/>
        </w:trPr>
        <w:tc>
          <w:tcPr>
            <w:tcW w:w="5000" w:type="pct"/>
            <w:gridSpan w:val="7"/>
            <w:vAlign w:val="center"/>
          </w:tcPr>
          <w:p w:rsidR="00767B38" w:rsidRPr="0038488B" w:rsidRDefault="00767B38" w:rsidP="0038488B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Движимое имущество</w:t>
            </w:r>
          </w:p>
        </w:tc>
      </w:tr>
      <w:tr w:rsidR="00767B38" w:rsidRPr="0028393C" w:rsidTr="0026654D">
        <w:trPr>
          <w:cantSplit/>
          <w:trHeight w:val="410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767B38">
              <w:rPr>
                <w:sz w:val="20"/>
              </w:rPr>
              <w:t>Маслобензоуловитель</w:t>
            </w:r>
            <w:proofErr w:type="spellEnd"/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ЗС226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67B38" w:rsidRPr="0028393C" w:rsidTr="0026654D">
        <w:trPr>
          <w:cantSplit/>
          <w:trHeight w:val="70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Мойка для А-машин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ЗС227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17782,48</w:t>
            </w:r>
          </w:p>
        </w:tc>
      </w:tr>
      <w:tr w:rsidR="00767B38" w:rsidRPr="0028393C" w:rsidTr="0026654D">
        <w:trPr>
          <w:cantSplit/>
          <w:trHeight w:val="606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Открытая стоянка для А-машин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ЗС228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35436,36</w:t>
            </w:r>
          </w:p>
        </w:tc>
      </w:tr>
      <w:tr w:rsidR="00767B38" w:rsidRPr="0028393C" w:rsidTr="0026654D">
        <w:trPr>
          <w:cantSplit/>
          <w:trHeight w:val="545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Площадка для хранения материалов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ЗС229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16595,64</w:t>
            </w:r>
          </w:p>
        </w:tc>
      </w:tr>
      <w:tr w:rsidR="00767B38" w:rsidRPr="0028393C" w:rsidTr="0026654D">
        <w:trPr>
          <w:cantSplit/>
          <w:trHeight w:val="1098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Наружные сети водопровода к главному корпусу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ЗС230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2202438,18</w:t>
            </w:r>
          </w:p>
        </w:tc>
      </w:tr>
      <w:tr w:rsidR="00767B38" w:rsidRPr="0028393C" w:rsidTr="0026654D">
        <w:trPr>
          <w:cantSplit/>
          <w:trHeight w:val="376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Ограда ворота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ЗС231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4656,37</w:t>
            </w:r>
          </w:p>
        </w:tc>
      </w:tr>
      <w:tr w:rsidR="00767B38" w:rsidRPr="0028393C" w:rsidTr="0026654D">
        <w:trPr>
          <w:cantSplit/>
          <w:trHeight w:val="517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Благоустройство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ЗС232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512163,28</w:t>
            </w:r>
          </w:p>
        </w:tc>
      </w:tr>
      <w:tr w:rsidR="00767B38" w:rsidRPr="0028393C" w:rsidTr="0026654D">
        <w:trPr>
          <w:cantSplit/>
          <w:trHeight w:val="504"/>
        </w:trPr>
        <w:tc>
          <w:tcPr>
            <w:tcW w:w="263" w:type="pct"/>
            <w:vAlign w:val="center"/>
          </w:tcPr>
          <w:p w:rsidR="00767B38" w:rsidRDefault="00767B38" w:rsidP="00767B38">
            <w:pPr>
              <w:spacing w:line="240" w:lineRule="auto"/>
              <w:ind w:firstLine="34"/>
              <w:contextualSpacing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10.</w:t>
            </w:r>
          </w:p>
        </w:tc>
        <w:tc>
          <w:tcPr>
            <w:tcW w:w="1053" w:type="pct"/>
            <w:vAlign w:val="center"/>
          </w:tcPr>
          <w:p w:rsid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9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Автодорога</w:t>
            </w:r>
          </w:p>
        </w:tc>
        <w:tc>
          <w:tcPr>
            <w:tcW w:w="890" w:type="pct"/>
            <w:vAlign w:val="center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 xml:space="preserve">Брянская область, г. </w:t>
            </w:r>
            <w:proofErr w:type="spellStart"/>
            <w:r w:rsidRPr="00767B38">
              <w:rPr>
                <w:sz w:val="20"/>
              </w:rPr>
              <w:t>Клинцы</w:t>
            </w:r>
            <w:proofErr w:type="spellEnd"/>
            <w:r w:rsidRPr="00767B38">
              <w:rPr>
                <w:sz w:val="20"/>
              </w:rPr>
              <w:t xml:space="preserve">, </w:t>
            </w:r>
          </w:p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ул. Московская, д.112 «а»</w:t>
            </w:r>
          </w:p>
        </w:tc>
        <w:tc>
          <w:tcPr>
            <w:tcW w:w="720" w:type="pct"/>
            <w:vAlign w:val="center"/>
          </w:tcPr>
          <w:p w:rsidR="00767B38" w:rsidRPr="0038488B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left="-49" w:right="-46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" w:type="pct"/>
          </w:tcPr>
          <w:p w:rsidR="00767B38" w:rsidRPr="00767B38" w:rsidRDefault="00767B38" w:rsidP="00767B38">
            <w:pPr>
              <w:widowControl w:val="0"/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767B38">
              <w:rPr>
                <w:sz w:val="20"/>
              </w:rPr>
              <w:t>ЗС233</w:t>
            </w:r>
          </w:p>
        </w:tc>
        <w:tc>
          <w:tcPr>
            <w:tcW w:w="789" w:type="pct"/>
            <w:vAlign w:val="center"/>
          </w:tcPr>
          <w:p w:rsidR="00767B38" w:rsidRPr="0038488B" w:rsidRDefault="00713944" w:rsidP="00767B38">
            <w:pPr>
              <w:widowControl w:val="0"/>
              <w:tabs>
                <w:tab w:val="num" w:pos="1134"/>
              </w:tabs>
              <w:spacing w:line="240" w:lineRule="auto"/>
              <w:ind w:right="-48" w:firstLine="0"/>
              <w:jc w:val="center"/>
              <w:rPr>
                <w:sz w:val="20"/>
              </w:rPr>
            </w:pPr>
            <w:r>
              <w:rPr>
                <w:sz w:val="20"/>
              </w:rPr>
              <w:t>79061,78</w:t>
            </w:r>
          </w:p>
        </w:tc>
      </w:tr>
    </w:tbl>
    <w:p w:rsidR="00AB7882" w:rsidRPr="002741A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 xml:space="preserve">Имущественные права на объект оценки: </w:t>
      </w:r>
    </w:p>
    <w:p w:rsidR="00946DFA" w:rsidRPr="00F83B17" w:rsidRDefault="00C8322C" w:rsidP="00946DFA">
      <w:pPr>
        <w:widowControl w:val="0"/>
        <w:tabs>
          <w:tab w:val="left" w:pos="1276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46DFA" w:rsidRPr="00F83B17">
        <w:rPr>
          <w:sz w:val="24"/>
          <w:szCs w:val="24"/>
        </w:rPr>
        <w:t xml:space="preserve">Объект оценки принадлежат </w:t>
      </w:r>
      <w:r w:rsidR="00946DFA">
        <w:rPr>
          <w:sz w:val="24"/>
          <w:szCs w:val="24"/>
        </w:rPr>
        <w:t>ПАО «</w:t>
      </w:r>
      <w:r w:rsidR="00946DFA" w:rsidRPr="00B64C98">
        <w:rPr>
          <w:sz w:val="24"/>
          <w:szCs w:val="24"/>
        </w:rPr>
        <w:t>МРСК Центра» на праве собственности.</w:t>
      </w:r>
    </w:p>
    <w:p w:rsidR="00363995" w:rsidRPr="00C13E89" w:rsidRDefault="00363995" w:rsidP="00363995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 xml:space="preserve">Вид определяемой стоимости и цель оценки (предполагаемое использование результатов оценки): </w:t>
      </w:r>
    </w:p>
    <w:p w:rsidR="004317EC" w:rsidRDefault="004317EC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Рыночная стоимость.</w:t>
      </w:r>
    </w:p>
    <w:p w:rsidR="00C8322C" w:rsidRPr="00C8322C" w:rsidRDefault="00C8322C" w:rsidP="00C8322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C8322C">
        <w:rPr>
          <w:rFonts w:ascii="Times New Roman" w:hAnsi="Times New Roman"/>
          <w:b/>
          <w:sz w:val="24"/>
          <w:szCs w:val="24"/>
        </w:rPr>
        <w:t>Предполагаемое использование результатов оценки:</w:t>
      </w:r>
    </w:p>
    <w:p w:rsidR="00C8322C" w:rsidRPr="00C8322C" w:rsidRDefault="00C8322C" w:rsidP="00C8322C">
      <w:pPr>
        <w:widowControl w:val="0"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Для принятия управленческих решений, в том числе заключения договора купли-продажи.</w:t>
      </w:r>
    </w:p>
    <w:p w:rsidR="007209C5" w:rsidRPr="00C13E89" w:rsidRDefault="007209C5" w:rsidP="007209C5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7209C5" w:rsidRDefault="00C8322C" w:rsidP="007209C5">
      <w:pPr>
        <w:widowControl w:val="0"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209C5" w:rsidRPr="00C13E89">
        <w:rPr>
          <w:sz w:val="24"/>
          <w:szCs w:val="24"/>
        </w:rPr>
        <w:t>Результаты оценки могут быть использованы в течение 6 месяцев с даты составления отчета об оценке.</w:t>
      </w:r>
    </w:p>
    <w:p w:rsidR="007209C5" w:rsidRPr="00C13E89" w:rsidRDefault="007209C5" w:rsidP="007209C5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>Дата оценки:</w:t>
      </w:r>
    </w:p>
    <w:p w:rsidR="007209C5" w:rsidRPr="00C13E89" w:rsidRDefault="00C8322C" w:rsidP="007209C5">
      <w:pPr>
        <w:widowControl w:val="0"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209C5" w:rsidRPr="00C13E89">
        <w:rPr>
          <w:sz w:val="24"/>
          <w:szCs w:val="24"/>
        </w:rPr>
        <w:t xml:space="preserve">По состоянию на дату осмотра объекта оценки. </w:t>
      </w:r>
    </w:p>
    <w:p w:rsidR="007209C5" w:rsidRPr="00C13E89" w:rsidRDefault="007209C5" w:rsidP="007209C5">
      <w:pPr>
        <w:widowControl w:val="0"/>
        <w:numPr>
          <w:ilvl w:val="1"/>
          <w:numId w:val="4"/>
        </w:numPr>
        <w:tabs>
          <w:tab w:val="num" w:pos="1134"/>
        </w:tabs>
        <w:spacing w:before="120" w:after="120" w:line="240" w:lineRule="auto"/>
        <w:contextualSpacing/>
        <w:rPr>
          <w:b/>
          <w:sz w:val="24"/>
          <w:szCs w:val="24"/>
        </w:rPr>
      </w:pPr>
      <w:r w:rsidRPr="00C13E89">
        <w:rPr>
          <w:b/>
          <w:sz w:val="24"/>
          <w:szCs w:val="24"/>
        </w:rPr>
        <w:t xml:space="preserve">Допущения и ограничения, на которых должна основываться оценка: </w:t>
      </w:r>
    </w:p>
    <w:p w:rsidR="007209C5" w:rsidRPr="00C13E89" w:rsidRDefault="007209C5" w:rsidP="007209C5">
      <w:pPr>
        <w:widowControl w:val="0"/>
        <w:numPr>
          <w:ilvl w:val="2"/>
          <w:numId w:val="4"/>
        </w:numPr>
        <w:tabs>
          <w:tab w:val="num" w:pos="1134"/>
        </w:tabs>
        <w:spacing w:before="120" w:after="120" w:line="240" w:lineRule="auto"/>
        <w:contextualSpacing/>
        <w:rPr>
          <w:sz w:val="24"/>
          <w:szCs w:val="24"/>
        </w:rPr>
      </w:pPr>
      <w:r w:rsidRPr="00C13E89">
        <w:rPr>
          <w:sz w:val="24"/>
          <w:szCs w:val="24"/>
        </w:rPr>
        <w:t>Оценка производится в предположении отсутствия каких-либо обременений оцениваемых прав.</w:t>
      </w:r>
    </w:p>
    <w:p w:rsidR="007209C5" w:rsidRDefault="007209C5" w:rsidP="007209C5">
      <w:pPr>
        <w:widowControl w:val="0"/>
        <w:numPr>
          <w:ilvl w:val="2"/>
          <w:numId w:val="4"/>
        </w:numPr>
        <w:tabs>
          <w:tab w:val="num" w:pos="1134"/>
        </w:tabs>
        <w:spacing w:before="120" w:after="120" w:line="240" w:lineRule="auto"/>
        <w:contextualSpacing/>
        <w:rPr>
          <w:sz w:val="24"/>
          <w:szCs w:val="24"/>
        </w:rPr>
      </w:pPr>
      <w:r w:rsidRPr="00C13E89">
        <w:rPr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7209C5" w:rsidRPr="007209C5" w:rsidRDefault="007209C5" w:rsidP="007209C5">
      <w:pPr>
        <w:widowControl w:val="0"/>
        <w:numPr>
          <w:ilvl w:val="2"/>
          <w:numId w:val="4"/>
        </w:numPr>
        <w:tabs>
          <w:tab w:val="num" w:pos="1134"/>
        </w:tabs>
        <w:spacing w:before="120" w:after="120" w:line="240" w:lineRule="auto"/>
        <w:contextualSpacing/>
        <w:rPr>
          <w:sz w:val="24"/>
          <w:szCs w:val="24"/>
        </w:rPr>
      </w:pPr>
      <w:r w:rsidRPr="007209C5">
        <w:rPr>
          <w:sz w:val="24"/>
          <w:szCs w:val="24"/>
        </w:rPr>
        <w:t>Прочие допущения и ограничения, возникающие в процессе оценки, будут приведены в Отчете об оценке</w:t>
      </w:r>
    </w:p>
    <w:p w:rsidR="007243FB" w:rsidRPr="002741AC" w:rsidRDefault="007243FB" w:rsidP="007209C5">
      <w:pPr>
        <w:pStyle w:val="af0"/>
        <w:numPr>
          <w:ilvl w:val="0"/>
          <w:numId w:val="4"/>
        </w:numPr>
        <w:spacing w:before="360" w:after="120"/>
        <w:jc w:val="center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ТРЕБОВАНИЯ К ПОРЯДКУ ОКАЗАНИЯ УСЛУГ И ОПЛАТЕ</w:t>
      </w:r>
    </w:p>
    <w:p w:rsidR="007243FB" w:rsidRPr="002741AC" w:rsidRDefault="007243FB" w:rsidP="007243FB">
      <w:pPr>
        <w:pStyle w:val="af0"/>
        <w:numPr>
          <w:ilvl w:val="1"/>
          <w:numId w:val="4"/>
        </w:numPr>
        <w:spacing w:before="60" w:after="60"/>
        <w:ind w:hanging="11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Нормативная база:</w:t>
      </w:r>
    </w:p>
    <w:p w:rsidR="007243FB" w:rsidRPr="002741AC" w:rsidRDefault="007243FB" w:rsidP="007243FB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7243FB" w:rsidRPr="002741AC" w:rsidRDefault="007243FB" w:rsidP="007243FB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Гражданского кодекса;</w:t>
      </w:r>
    </w:p>
    <w:p w:rsidR="007243FB" w:rsidRPr="002741AC" w:rsidRDefault="007243FB" w:rsidP="007243FB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2741AC">
          <w:rPr>
            <w:sz w:val="24"/>
            <w:szCs w:val="24"/>
          </w:rPr>
          <w:t>1998 г</w:t>
        </w:r>
      </w:smartTag>
      <w:r w:rsidRPr="002741AC">
        <w:rPr>
          <w:sz w:val="24"/>
          <w:szCs w:val="24"/>
        </w:rPr>
        <w:t>. № 135</w:t>
      </w:r>
      <w:r w:rsidRPr="002741AC">
        <w:rPr>
          <w:sz w:val="24"/>
          <w:szCs w:val="24"/>
        </w:rPr>
        <w:noBreakHyphen/>
        <w:t>ФЗ «Об оценочной деятельности в Российской Федерации»;</w:t>
      </w:r>
    </w:p>
    <w:p w:rsidR="007243FB" w:rsidRPr="002741AC" w:rsidRDefault="007243FB" w:rsidP="007243FB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lastRenderedPageBreak/>
        <w:t>-</w:t>
      </w:r>
      <w:r w:rsidRPr="002741AC">
        <w:rPr>
          <w:sz w:val="24"/>
          <w:szCs w:val="24"/>
        </w:rPr>
        <w:tab/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 недвижимости (ФСО № 7)», от 01.06.2015 № 328 «Об утверждении Федерального стандарта оценки «Оценка стоимости машин и оборудования (ФСО № 10)»;</w:t>
      </w:r>
    </w:p>
    <w:p w:rsidR="007243FB" w:rsidRPr="002741AC" w:rsidRDefault="007243FB" w:rsidP="007243FB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>Стандартов и правил оценочной деятельности саморегулируемой организации оценщиков;</w:t>
      </w:r>
    </w:p>
    <w:p w:rsidR="007243FB" w:rsidRPr="002741AC" w:rsidRDefault="007243FB" w:rsidP="007243FB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-</w:t>
      </w:r>
      <w:r w:rsidRPr="002741AC">
        <w:rPr>
          <w:sz w:val="24"/>
          <w:szCs w:val="24"/>
        </w:rPr>
        <w:tab/>
        <w:t xml:space="preserve">Методологии и руководства по проведению оценки бизнеса и/или активов, размещенных по адресу: </w:t>
      </w:r>
      <w:hyperlink r:id="rId6" w:history="1">
        <w:r w:rsidRPr="002741AC">
          <w:rPr>
            <w:rStyle w:val="a7"/>
            <w:sz w:val="24"/>
            <w:szCs w:val="24"/>
          </w:rPr>
          <w:t>http://www.rosseti.ru/about/property/</w:t>
        </w:r>
      </w:hyperlink>
      <w:r w:rsidRPr="002741AC">
        <w:rPr>
          <w:sz w:val="24"/>
          <w:szCs w:val="24"/>
        </w:rPr>
        <w:t>.</w:t>
      </w:r>
    </w:p>
    <w:p w:rsidR="007243FB" w:rsidRPr="002741AC" w:rsidRDefault="007243FB" w:rsidP="007243FB">
      <w:pPr>
        <w:pStyle w:val="af0"/>
        <w:numPr>
          <w:ilvl w:val="1"/>
          <w:numId w:val="4"/>
        </w:numPr>
        <w:spacing w:before="60" w:after="60"/>
        <w:ind w:hanging="11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 xml:space="preserve">Срок оказания услуг: </w:t>
      </w:r>
    </w:p>
    <w:p w:rsidR="007243FB" w:rsidRPr="002741AC" w:rsidRDefault="007243FB" w:rsidP="007243FB">
      <w:pPr>
        <w:spacing w:before="60" w:after="60"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Начало оказания услуг по оценке – с момента заключения Договора.</w:t>
      </w:r>
    </w:p>
    <w:p w:rsidR="007243FB" w:rsidRPr="002741AC" w:rsidRDefault="007209C5" w:rsidP="007243FB">
      <w:pPr>
        <w:spacing w:before="60" w:after="6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Представление предварительного проекта </w:t>
      </w:r>
      <w:r w:rsidRPr="00AB48E6">
        <w:rPr>
          <w:sz w:val="24"/>
          <w:szCs w:val="24"/>
        </w:rPr>
        <w:t>отчет</w:t>
      </w:r>
      <w:r>
        <w:rPr>
          <w:sz w:val="24"/>
          <w:szCs w:val="24"/>
        </w:rPr>
        <w:t>а</w:t>
      </w:r>
      <w:r w:rsidRPr="00AB48E6">
        <w:rPr>
          <w:sz w:val="24"/>
          <w:szCs w:val="24"/>
        </w:rPr>
        <w:t xml:space="preserve"> для рассмотрения Заказчику осуществляется не позднее 10 (десяти) рабочих дней с момента предоставления всей необходимой для оценки информации на основании информационного запроса оценщика</w:t>
      </w:r>
      <w:r w:rsidR="007243FB" w:rsidRPr="002741AC">
        <w:rPr>
          <w:sz w:val="24"/>
          <w:szCs w:val="24"/>
        </w:rPr>
        <w:t>.</w:t>
      </w:r>
    </w:p>
    <w:p w:rsidR="007243FB" w:rsidRDefault="007209C5" w:rsidP="007243FB">
      <w:pPr>
        <w:spacing w:before="60" w:after="6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Окончание оказания услуг - </w:t>
      </w:r>
      <w:r w:rsidRPr="00AB48E6">
        <w:rPr>
          <w:sz w:val="24"/>
          <w:szCs w:val="24"/>
        </w:rPr>
        <w:t>не позднее 5 (пяти) рабочих дней с момента рассмотрения проект</w:t>
      </w:r>
      <w:r w:rsidR="00C8322C">
        <w:rPr>
          <w:sz w:val="24"/>
          <w:szCs w:val="24"/>
        </w:rPr>
        <w:t>а</w:t>
      </w:r>
      <w:r w:rsidRPr="00AB48E6">
        <w:rPr>
          <w:sz w:val="24"/>
          <w:szCs w:val="24"/>
        </w:rPr>
        <w:t xml:space="preserve"> отчет</w:t>
      </w:r>
      <w:r w:rsidR="00C8322C">
        <w:rPr>
          <w:sz w:val="24"/>
          <w:szCs w:val="24"/>
        </w:rPr>
        <w:t>а</w:t>
      </w:r>
      <w:r w:rsidRPr="00AB48E6">
        <w:rPr>
          <w:sz w:val="24"/>
          <w:szCs w:val="24"/>
        </w:rPr>
        <w:t xml:space="preserve"> об оценке Заказчиком</w:t>
      </w:r>
      <w:r w:rsidR="007243FB" w:rsidRPr="002741AC">
        <w:rPr>
          <w:sz w:val="24"/>
          <w:szCs w:val="24"/>
        </w:rPr>
        <w:t>.</w:t>
      </w:r>
    </w:p>
    <w:p w:rsidR="007069FC" w:rsidRPr="00C13E89" w:rsidRDefault="00C8322C" w:rsidP="007069FC">
      <w:pPr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069FC" w:rsidRPr="00C13E89">
        <w:rPr>
          <w:sz w:val="24"/>
          <w:szCs w:val="24"/>
        </w:rPr>
        <w:t xml:space="preserve">В случае нарушения сроков оказания услуг по оценке </w:t>
      </w:r>
      <w:r w:rsidR="007069FC">
        <w:rPr>
          <w:sz w:val="24"/>
          <w:szCs w:val="24"/>
        </w:rPr>
        <w:t>П</w:t>
      </w:r>
      <w:r w:rsidR="007069FC" w:rsidRPr="00C13E89">
        <w:rPr>
          <w:sz w:val="24"/>
          <w:szCs w:val="24"/>
        </w:rPr>
        <w:t>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7243FB" w:rsidRPr="002741AC" w:rsidRDefault="007243FB" w:rsidP="007243FB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Основные этапы оказания услуг:</w:t>
      </w:r>
    </w:p>
    <w:p w:rsidR="007243FB" w:rsidRPr="002741AC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2741AC">
        <w:rPr>
          <w:rFonts w:ascii="Times New Roman" w:hAnsi="Times New Roman"/>
          <w:sz w:val="24"/>
          <w:szCs w:val="24"/>
        </w:rPr>
        <w:t>Получение в электронном и/или бумажном виде исходной информации об объектах оценки, подготовленной в соответствии с настоящим Техническим заданием и информационным запросом оценщика.</w:t>
      </w:r>
    </w:p>
    <w:p w:rsidR="007243FB" w:rsidRPr="002741AC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2741AC">
        <w:rPr>
          <w:rFonts w:ascii="Times New Roman" w:hAnsi="Times New Roman"/>
          <w:sz w:val="24"/>
          <w:szCs w:val="24"/>
        </w:rPr>
        <w:t>Сбор и анализ исходных данных и информации, уточнение и получение дополнительных разъяснений.</w:t>
      </w:r>
    </w:p>
    <w:p w:rsidR="007243FB" w:rsidRPr="002741AC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2741AC">
        <w:rPr>
          <w:rFonts w:ascii="Times New Roman" w:hAnsi="Times New Roman"/>
          <w:sz w:val="24"/>
          <w:szCs w:val="24"/>
        </w:rPr>
        <w:t>Подготовка Отчет</w:t>
      </w:r>
      <w:r>
        <w:rPr>
          <w:rFonts w:ascii="Times New Roman" w:hAnsi="Times New Roman"/>
          <w:sz w:val="24"/>
          <w:szCs w:val="24"/>
        </w:rPr>
        <w:t>а</w:t>
      </w:r>
      <w:r w:rsidRPr="002741AC">
        <w:rPr>
          <w:rFonts w:ascii="Times New Roman" w:hAnsi="Times New Roman"/>
          <w:sz w:val="24"/>
          <w:szCs w:val="24"/>
        </w:rPr>
        <w:t xml:space="preserve"> об оценке.</w:t>
      </w:r>
    </w:p>
    <w:p w:rsidR="007243FB" w:rsidRPr="002741AC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2741AC">
        <w:rPr>
          <w:rFonts w:ascii="Times New Roman" w:hAnsi="Times New Roman"/>
          <w:sz w:val="24"/>
          <w:szCs w:val="24"/>
        </w:rPr>
        <w:t>Передача Отчет</w:t>
      </w:r>
      <w:r>
        <w:rPr>
          <w:rFonts w:ascii="Times New Roman" w:hAnsi="Times New Roman"/>
          <w:sz w:val="24"/>
          <w:szCs w:val="24"/>
        </w:rPr>
        <w:t>а</w:t>
      </w:r>
      <w:r w:rsidRPr="002741AC">
        <w:rPr>
          <w:rFonts w:ascii="Times New Roman" w:hAnsi="Times New Roman"/>
          <w:sz w:val="24"/>
          <w:szCs w:val="24"/>
        </w:rPr>
        <w:t xml:space="preserve"> об оценке в ПАО «МРСК Центра».</w:t>
      </w:r>
    </w:p>
    <w:p w:rsidR="007243FB" w:rsidRPr="002741AC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2741AC">
        <w:rPr>
          <w:rFonts w:ascii="Times New Roman" w:hAnsi="Times New Roman"/>
          <w:sz w:val="24"/>
          <w:szCs w:val="24"/>
        </w:rPr>
        <w:t>Защита</w:t>
      </w:r>
      <w:r>
        <w:rPr>
          <w:rFonts w:ascii="Times New Roman" w:hAnsi="Times New Roman"/>
          <w:sz w:val="24"/>
          <w:szCs w:val="24"/>
        </w:rPr>
        <w:t xml:space="preserve"> результатов оценки в ПАО «</w:t>
      </w:r>
      <w:proofErr w:type="spellStart"/>
      <w:r>
        <w:rPr>
          <w:rFonts w:ascii="Times New Roman" w:hAnsi="Times New Roman"/>
          <w:sz w:val="24"/>
          <w:szCs w:val="24"/>
        </w:rPr>
        <w:t>Россети</w:t>
      </w:r>
      <w:proofErr w:type="spellEnd"/>
      <w:r w:rsidRPr="002741AC">
        <w:rPr>
          <w:rFonts w:ascii="Times New Roman" w:hAnsi="Times New Roman"/>
          <w:sz w:val="24"/>
          <w:szCs w:val="24"/>
        </w:rPr>
        <w:t>» (при необходимости).</w:t>
      </w:r>
    </w:p>
    <w:p w:rsidR="007243FB" w:rsidRPr="002741AC" w:rsidRDefault="007243FB" w:rsidP="007243FB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Выдача итоговых результатов:</w:t>
      </w:r>
    </w:p>
    <w:p w:rsidR="007243FB" w:rsidRPr="007C01A6" w:rsidRDefault="007243FB" w:rsidP="007243FB">
      <w:pPr>
        <w:spacing w:line="240" w:lineRule="auto"/>
        <w:ind w:firstLine="709"/>
        <w:rPr>
          <w:sz w:val="24"/>
          <w:szCs w:val="24"/>
        </w:rPr>
      </w:pPr>
      <w:r w:rsidRPr="007C01A6">
        <w:rPr>
          <w:sz w:val="24"/>
          <w:szCs w:val="24"/>
        </w:rPr>
        <w:t>Результатом услуг являются следующие материалы:</w:t>
      </w:r>
    </w:p>
    <w:p w:rsidR="007243FB" w:rsidRPr="007C01A6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7C01A6">
        <w:rPr>
          <w:rFonts w:ascii="Times New Roman" w:hAnsi="Times New Roman"/>
          <w:sz w:val="24"/>
          <w:szCs w:val="24"/>
        </w:rPr>
        <w:t xml:space="preserve">Отчет об оценке объектов, предоставленный в 2 (двух)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 </w:t>
      </w:r>
    </w:p>
    <w:p w:rsidR="007243FB" w:rsidRPr="007C01A6" w:rsidRDefault="007243FB" w:rsidP="007243FB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7C01A6">
        <w:rPr>
          <w:rFonts w:ascii="Times New Roman" w:hAnsi="Times New Roman"/>
          <w:sz w:val="24"/>
          <w:szCs w:val="24"/>
        </w:rPr>
        <w:t xml:space="preserve">Сопроводительные материалы к Отчету согласно в виде моделей, представляющих собой расчетные файлы в электронном формате </w:t>
      </w:r>
      <w:proofErr w:type="spellStart"/>
      <w:r w:rsidRPr="007C01A6">
        <w:rPr>
          <w:rFonts w:ascii="Times New Roman" w:hAnsi="Times New Roman"/>
          <w:sz w:val="24"/>
          <w:szCs w:val="24"/>
        </w:rPr>
        <w:t>Microsoft</w:t>
      </w:r>
      <w:proofErr w:type="spellEnd"/>
      <w:r w:rsidRPr="007C01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01A6">
        <w:rPr>
          <w:rFonts w:ascii="Times New Roman" w:hAnsi="Times New Roman"/>
          <w:sz w:val="24"/>
          <w:szCs w:val="24"/>
        </w:rPr>
        <w:t>Excel</w:t>
      </w:r>
      <w:proofErr w:type="spellEnd"/>
      <w:r w:rsidRPr="007C01A6">
        <w:rPr>
          <w:rFonts w:ascii="Times New Roman" w:hAnsi="Times New Roman"/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7243FB" w:rsidRPr="002741AC" w:rsidRDefault="007243FB" w:rsidP="007243FB">
      <w:pPr>
        <w:pStyle w:val="af0"/>
        <w:numPr>
          <w:ilvl w:val="1"/>
          <w:numId w:val="4"/>
        </w:numPr>
        <w:spacing w:before="60" w:after="6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Форма, сроки и порядок оплаты за оказываемые услуги:</w:t>
      </w:r>
    </w:p>
    <w:p w:rsidR="007243FB" w:rsidRPr="002741AC" w:rsidRDefault="007243FB" w:rsidP="007243FB">
      <w:pPr>
        <w:spacing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Предусмотрен 1 этап оплаты:</w:t>
      </w:r>
    </w:p>
    <w:p w:rsidR="007243FB" w:rsidRPr="002741AC" w:rsidRDefault="007243FB" w:rsidP="007243FB">
      <w:pPr>
        <w:spacing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462283">
        <w:rPr>
          <w:sz w:val="24"/>
          <w:szCs w:val="24"/>
        </w:rPr>
        <w:t>рабочих</w:t>
      </w:r>
      <w:r w:rsidRPr="002741AC">
        <w:rPr>
          <w:sz w:val="24"/>
          <w:szCs w:val="24"/>
        </w:rPr>
        <w:t xml:space="preserve"> дней после подписания Сторонами Акта приема-сдачи оказанных услуг и предоставления </w:t>
      </w:r>
      <w:r>
        <w:rPr>
          <w:sz w:val="24"/>
          <w:szCs w:val="24"/>
        </w:rPr>
        <w:t xml:space="preserve">счета или </w:t>
      </w:r>
      <w:r w:rsidRPr="002741AC">
        <w:rPr>
          <w:sz w:val="24"/>
          <w:szCs w:val="24"/>
        </w:rPr>
        <w:t>счет</w:t>
      </w:r>
      <w:r>
        <w:rPr>
          <w:sz w:val="24"/>
          <w:szCs w:val="24"/>
        </w:rPr>
        <w:t>а</w:t>
      </w:r>
      <w:r w:rsidRPr="002741AC">
        <w:rPr>
          <w:sz w:val="24"/>
          <w:szCs w:val="24"/>
        </w:rPr>
        <w:t>-фактуры.</w:t>
      </w:r>
    </w:p>
    <w:p w:rsidR="007243FB" w:rsidRPr="002741AC" w:rsidRDefault="007243FB" w:rsidP="007243FB">
      <w:pPr>
        <w:spacing w:line="240" w:lineRule="auto"/>
        <w:ind w:firstLine="709"/>
        <w:rPr>
          <w:sz w:val="24"/>
          <w:szCs w:val="24"/>
        </w:rPr>
      </w:pPr>
      <w:r w:rsidRPr="002741AC">
        <w:rPr>
          <w:sz w:val="24"/>
          <w:szCs w:val="24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7243FB" w:rsidRPr="002741AC" w:rsidRDefault="007243FB" w:rsidP="007243FB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741AC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8260A8" w:rsidRPr="00CA733B" w:rsidRDefault="008260A8" w:rsidP="008260A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lastRenderedPageBreak/>
        <w:t>Обязательство Участника самостоятельно собрать всю необходимую информацию для проведения оценочных работ.</w:t>
      </w:r>
    </w:p>
    <w:p w:rsidR="008260A8" w:rsidRPr="00CA733B" w:rsidRDefault="008260A8" w:rsidP="008260A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осуществить оценочные работы с выездом на фактическое местонахождение с проведением личной инспекции объекта оценки.</w:t>
      </w:r>
    </w:p>
    <w:p w:rsidR="008260A8" w:rsidRPr="00CA733B" w:rsidRDefault="008260A8" w:rsidP="008260A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 xml:space="preserve">Обязательство Участника предоставить предварительный проект Отчета об оценке для рассмотрения Заказчику не позднее 10 (десяти) рабочих дней с момента предоставления всей необходимой для оценки информации на основании информационного запроса оценщика, завершить оказание </w:t>
      </w:r>
      <w:r w:rsidRPr="00685E2C">
        <w:rPr>
          <w:color w:val="000000"/>
          <w:sz w:val="24"/>
          <w:szCs w:val="24"/>
        </w:rPr>
        <w:t>услуг не позднее 5 (пяти)</w:t>
      </w:r>
      <w:r w:rsidRPr="00CA733B">
        <w:rPr>
          <w:color w:val="000000"/>
          <w:sz w:val="24"/>
          <w:szCs w:val="24"/>
        </w:rPr>
        <w:t xml:space="preserve"> рабочих дней с момента рассмотрения проекта Отчета об оценке Заказчиком. </w:t>
      </w:r>
    </w:p>
    <w:p w:rsidR="00C8322C" w:rsidRPr="00C8322C" w:rsidRDefault="00C8322C" w:rsidP="00C8322C">
      <w:pPr>
        <w:pStyle w:val="af0"/>
        <w:numPr>
          <w:ilvl w:val="1"/>
          <w:numId w:val="4"/>
        </w:numPr>
        <w:spacing w:before="120" w:after="12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8322C">
        <w:rPr>
          <w:rFonts w:ascii="Times New Roman" w:hAnsi="Times New Roman"/>
          <w:color w:val="000000"/>
          <w:sz w:val="24"/>
          <w:szCs w:val="24"/>
        </w:rPr>
        <w:t xml:space="preserve">Обязательство Участника соблюдать сроки и условия </w:t>
      </w:r>
      <w:proofErr w:type="spellStart"/>
      <w:r w:rsidRPr="00C8322C">
        <w:rPr>
          <w:rFonts w:ascii="Times New Roman" w:hAnsi="Times New Roman"/>
          <w:color w:val="000000"/>
          <w:sz w:val="24"/>
          <w:szCs w:val="24"/>
        </w:rPr>
        <w:t>пп</w:t>
      </w:r>
      <w:proofErr w:type="spellEnd"/>
      <w:r w:rsidRPr="00C8322C">
        <w:rPr>
          <w:rFonts w:ascii="Times New Roman" w:hAnsi="Times New Roman"/>
          <w:color w:val="000000"/>
          <w:sz w:val="24"/>
          <w:szCs w:val="24"/>
        </w:rPr>
        <w:t>. 2.2 – 2.4.</w:t>
      </w:r>
    </w:p>
    <w:p w:rsidR="008260A8" w:rsidRPr="00C8322C" w:rsidRDefault="008260A8" w:rsidP="00C8322C">
      <w:pPr>
        <w:pStyle w:val="af0"/>
        <w:spacing w:before="120" w:after="12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322C">
        <w:rPr>
          <w:rFonts w:ascii="Times New Roman" w:hAnsi="Times New Roman"/>
          <w:color w:val="000000"/>
          <w:sz w:val="24"/>
          <w:szCs w:val="24"/>
        </w:rPr>
        <w:t>В случае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8260A8" w:rsidRPr="00CA733B" w:rsidRDefault="008260A8" w:rsidP="008260A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8260A8" w:rsidRPr="00CA733B" w:rsidRDefault="008260A8" w:rsidP="008260A8">
      <w:pPr>
        <w:numPr>
          <w:ilvl w:val="1"/>
          <w:numId w:val="4"/>
        </w:numPr>
        <w:tabs>
          <w:tab w:val="num" w:pos="1134"/>
        </w:tabs>
        <w:spacing w:before="120" w:after="120" w:line="240" w:lineRule="auto"/>
        <w:ind w:left="0" w:firstLine="709"/>
        <w:rPr>
          <w:color w:val="000000"/>
          <w:sz w:val="24"/>
          <w:szCs w:val="24"/>
        </w:rPr>
      </w:pPr>
      <w:r w:rsidRPr="00CA733B">
        <w:rPr>
          <w:color w:val="000000"/>
          <w:sz w:val="24"/>
          <w:szCs w:val="24"/>
        </w:rPr>
        <w:t>Обязательство Участника при наличии у Заказчика письменных мотивированных замечаний к проектам Отчета об оценке исправить в течение 10 (Десяти) рабочих дней выявленные недостатки и предоставить Заказчику новые редакции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7243FB" w:rsidRPr="001416EF" w:rsidRDefault="007243FB" w:rsidP="007243FB">
      <w:pPr>
        <w:pStyle w:val="af0"/>
        <w:spacing w:before="60" w:after="60"/>
        <w:ind w:left="709"/>
        <w:jc w:val="both"/>
        <w:rPr>
          <w:rFonts w:ascii="Times New Roman" w:hAnsi="Times New Roman"/>
          <w:sz w:val="24"/>
          <w:szCs w:val="24"/>
        </w:rPr>
      </w:pPr>
    </w:p>
    <w:p w:rsidR="007243FB" w:rsidRPr="00BC7177" w:rsidRDefault="007243FB" w:rsidP="007243FB">
      <w:pPr>
        <w:spacing w:line="240" w:lineRule="auto"/>
        <w:ind w:firstLine="0"/>
        <w:rPr>
          <w:rFonts w:eastAsiaTheme="minorHAnsi"/>
          <w:b/>
          <w:snapToGrid/>
          <w:sz w:val="24"/>
          <w:szCs w:val="24"/>
          <w:lang w:eastAsia="en-US"/>
        </w:rPr>
      </w:pPr>
      <w:r w:rsidRPr="00BC7177">
        <w:rPr>
          <w:rFonts w:eastAsiaTheme="minorHAnsi"/>
          <w:b/>
          <w:snapToGrid/>
          <w:sz w:val="24"/>
          <w:szCs w:val="24"/>
          <w:lang w:eastAsia="en-US"/>
        </w:rPr>
        <w:t>Контактное лицо филиала ПАО «МРСК Центра» - «</w:t>
      </w:r>
      <w:r w:rsidR="00767B38">
        <w:rPr>
          <w:rFonts w:eastAsiaTheme="minorHAnsi"/>
          <w:b/>
          <w:snapToGrid/>
          <w:sz w:val="24"/>
          <w:szCs w:val="24"/>
          <w:lang w:eastAsia="en-US"/>
        </w:rPr>
        <w:t>Брянскэнерго</w:t>
      </w:r>
      <w:r w:rsidRPr="00BC7177">
        <w:rPr>
          <w:rFonts w:eastAsiaTheme="minorHAnsi"/>
          <w:b/>
          <w:snapToGrid/>
          <w:sz w:val="24"/>
          <w:szCs w:val="24"/>
          <w:lang w:eastAsia="en-US"/>
        </w:rPr>
        <w:t xml:space="preserve">» по техническим вопросам: </w:t>
      </w:r>
    </w:p>
    <w:p w:rsidR="007243FB" w:rsidRPr="00BC7177" w:rsidRDefault="00767B38" w:rsidP="007243FB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>
        <w:rPr>
          <w:rFonts w:eastAsiaTheme="minorHAnsi"/>
          <w:snapToGrid/>
          <w:sz w:val="24"/>
          <w:szCs w:val="24"/>
          <w:lang w:eastAsia="en-US"/>
        </w:rPr>
        <w:t>Быкова Ольга Викторовна</w:t>
      </w:r>
    </w:p>
    <w:p w:rsidR="007243FB" w:rsidRPr="002741AC" w:rsidRDefault="007243FB" w:rsidP="007243FB">
      <w:pPr>
        <w:spacing w:line="240" w:lineRule="auto"/>
        <w:ind w:firstLine="0"/>
        <w:rPr>
          <w:rFonts w:eastAsiaTheme="minorHAnsi"/>
          <w:snapToGrid/>
          <w:sz w:val="24"/>
          <w:szCs w:val="24"/>
          <w:lang w:eastAsia="en-US"/>
        </w:rPr>
      </w:pPr>
      <w:r w:rsidRPr="002741AC">
        <w:rPr>
          <w:rFonts w:eastAsiaTheme="minorHAnsi"/>
          <w:snapToGrid/>
          <w:sz w:val="24"/>
          <w:szCs w:val="24"/>
          <w:lang w:eastAsia="en-US"/>
        </w:rPr>
        <w:t>8 (4</w:t>
      </w:r>
      <w:r w:rsidR="00767B38">
        <w:rPr>
          <w:rFonts w:eastAsiaTheme="minorHAnsi"/>
          <w:snapToGrid/>
          <w:sz w:val="24"/>
          <w:szCs w:val="24"/>
          <w:lang w:eastAsia="en-US"/>
        </w:rPr>
        <w:t>832</w:t>
      </w:r>
      <w:r w:rsidRPr="002741AC">
        <w:rPr>
          <w:rFonts w:eastAsiaTheme="minorHAnsi"/>
          <w:snapToGrid/>
          <w:sz w:val="24"/>
          <w:szCs w:val="24"/>
          <w:lang w:eastAsia="en-US"/>
        </w:rPr>
        <w:t xml:space="preserve">) </w:t>
      </w:r>
      <w:r w:rsidR="00767B38">
        <w:rPr>
          <w:rFonts w:eastAsiaTheme="minorHAnsi"/>
          <w:snapToGrid/>
          <w:sz w:val="24"/>
          <w:szCs w:val="24"/>
          <w:lang w:eastAsia="en-US"/>
        </w:rPr>
        <w:t>67</w:t>
      </w:r>
      <w:r w:rsidRPr="002741AC">
        <w:rPr>
          <w:rFonts w:eastAsiaTheme="minorHAnsi"/>
          <w:snapToGrid/>
          <w:sz w:val="24"/>
          <w:szCs w:val="24"/>
          <w:lang w:eastAsia="en-US"/>
        </w:rPr>
        <w:t>-</w:t>
      </w:r>
      <w:r w:rsidR="00767B38">
        <w:rPr>
          <w:rFonts w:eastAsiaTheme="minorHAnsi"/>
          <w:snapToGrid/>
          <w:sz w:val="24"/>
          <w:szCs w:val="24"/>
          <w:lang w:eastAsia="en-US"/>
        </w:rPr>
        <w:t>20</w:t>
      </w:r>
      <w:r w:rsidRPr="002741AC">
        <w:rPr>
          <w:rFonts w:eastAsiaTheme="minorHAnsi"/>
          <w:snapToGrid/>
          <w:sz w:val="24"/>
          <w:szCs w:val="24"/>
          <w:lang w:eastAsia="en-US"/>
        </w:rPr>
        <w:t>-</w:t>
      </w:r>
      <w:r w:rsidR="00767B38">
        <w:rPr>
          <w:rFonts w:eastAsiaTheme="minorHAnsi"/>
          <w:snapToGrid/>
          <w:sz w:val="24"/>
          <w:szCs w:val="24"/>
          <w:lang w:eastAsia="en-US"/>
        </w:rPr>
        <w:t>08</w:t>
      </w:r>
    </w:p>
    <w:p w:rsidR="007243FB" w:rsidRPr="00767B38" w:rsidRDefault="007243FB" w:rsidP="007243FB">
      <w:pPr>
        <w:spacing w:line="240" w:lineRule="auto"/>
        <w:ind w:firstLine="0"/>
        <w:rPr>
          <w:rFonts w:eastAsiaTheme="minorHAnsi"/>
          <w:snapToGrid/>
          <w:sz w:val="24"/>
          <w:szCs w:val="24"/>
          <w:lang w:val="en-US" w:eastAsia="en-US"/>
        </w:rPr>
      </w:pPr>
      <w:proofErr w:type="gramStart"/>
      <w:r w:rsidRPr="00767B38">
        <w:rPr>
          <w:rFonts w:eastAsiaTheme="minorHAnsi"/>
          <w:snapToGrid/>
          <w:sz w:val="24"/>
          <w:szCs w:val="24"/>
          <w:lang w:val="en-US" w:eastAsia="en-US"/>
        </w:rPr>
        <w:t>e-mail</w:t>
      </w:r>
      <w:proofErr w:type="gramEnd"/>
      <w:r w:rsidRPr="00767B38">
        <w:rPr>
          <w:rFonts w:eastAsiaTheme="minorHAnsi"/>
          <w:snapToGrid/>
          <w:sz w:val="24"/>
          <w:szCs w:val="24"/>
          <w:lang w:val="en-US" w:eastAsia="en-US"/>
        </w:rPr>
        <w:t>:</w:t>
      </w:r>
      <w:r w:rsidR="00767B38" w:rsidRPr="00767B38">
        <w:rPr>
          <w:lang w:val="en-US"/>
        </w:rPr>
        <w:t xml:space="preserve"> </w:t>
      </w:r>
      <w:r w:rsidR="00767B38" w:rsidRPr="00767B38">
        <w:rPr>
          <w:rFonts w:eastAsiaTheme="minorHAnsi"/>
          <w:snapToGrid/>
          <w:sz w:val="24"/>
          <w:szCs w:val="24"/>
          <w:lang w:val="en-US" w:eastAsia="en-US"/>
        </w:rPr>
        <w:t>Bykova.OV</w:t>
      </w:r>
      <w:r w:rsidRPr="00767B38">
        <w:rPr>
          <w:rFonts w:eastAsiaTheme="minorHAnsi"/>
          <w:snapToGrid/>
          <w:sz w:val="24"/>
          <w:szCs w:val="24"/>
          <w:lang w:val="en-US" w:eastAsia="en-US"/>
        </w:rPr>
        <w:t>@mrsk-1.ru</w:t>
      </w:r>
    </w:p>
    <w:p w:rsidR="001363A7" w:rsidRPr="00767B38" w:rsidRDefault="001363A7" w:rsidP="0002497E">
      <w:pPr>
        <w:spacing w:line="240" w:lineRule="auto"/>
        <w:jc w:val="right"/>
        <w:rPr>
          <w:sz w:val="20"/>
          <w:lang w:val="en-US"/>
        </w:rPr>
      </w:pPr>
    </w:p>
    <w:sectPr w:rsidR="001363A7" w:rsidRPr="00767B38" w:rsidSect="007209C5">
      <w:pgSz w:w="11906" w:h="16838" w:code="9"/>
      <w:pgMar w:top="56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2D3"/>
    <w:multiLevelType w:val="multilevel"/>
    <w:tmpl w:val="E9E203A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223DB"/>
    <w:multiLevelType w:val="multilevel"/>
    <w:tmpl w:val="65AABC02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0650DB"/>
    <w:multiLevelType w:val="hybridMultilevel"/>
    <w:tmpl w:val="3EF239AE"/>
    <w:lvl w:ilvl="0" w:tplc="B3BCB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8E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82"/>
    <w:rsid w:val="000177DE"/>
    <w:rsid w:val="0002252A"/>
    <w:rsid w:val="000234C1"/>
    <w:rsid w:val="0002497E"/>
    <w:rsid w:val="00065BA7"/>
    <w:rsid w:val="000D6D36"/>
    <w:rsid w:val="001363A7"/>
    <w:rsid w:val="001416EF"/>
    <w:rsid w:val="00164355"/>
    <w:rsid w:val="001F205B"/>
    <w:rsid w:val="001F6017"/>
    <w:rsid w:val="002527E1"/>
    <w:rsid w:val="002656CB"/>
    <w:rsid w:val="002741AC"/>
    <w:rsid w:val="002B76E9"/>
    <w:rsid w:val="0032300B"/>
    <w:rsid w:val="003325E3"/>
    <w:rsid w:val="00335421"/>
    <w:rsid w:val="00363995"/>
    <w:rsid w:val="003661F4"/>
    <w:rsid w:val="003833C7"/>
    <w:rsid w:val="0038488B"/>
    <w:rsid w:val="003C0A70"/>
    <w:rsid w:val="00417793"/>
    <w:rsid w:val="004317EC"/>
    <w:rsid w:val="0044226C"/>
    <w:rsid w:val="00454B25"/>
    <w:rsid w:val="00462283"/>
    <w:rsid w:val="00463BE4"/>
    <w:rsid w:val="004938DD"/>
    <w:rsid w:val="0049425C"/>
    <w:rsid w:val="004A0272"/>
    <w:rsid w:val="004A570B"/>
    <w:rsid w:val="004A6776"/>
    <w:rsid w:val="004B2439"/>
    <w:rsid w:val="004B2E42"/>
    <w:rsid w:val="004D004E"/>
    <w:rsid w:val="004E03F7"/>
    <w:rsid w:val="004F301D"/>
    <w:rsid w:val="004F4615"/>
    <w:rsid w:val="00502212"/>
    <w:rsid w:val="005259EA"/>
    <w:rsid w:val="00541730"/>
    <w:rsid w:val="005420F0"/>
    <w:rsid w:val="005463F3"/>
    <w:rsid w:val="0055233B"/>
    <w:rsid w:val="00557B89"/>
    <w:rsid w:val="00584244"/>
    <w:rsid w:val="00597F90"/>
    <w:rsid w:val="005B0520"/>
    <w:rsid w:val="005C283A"/>
    <w:rsid w:val="006462BB"/>
    <w:rsid w:val="006848CD"/>
    <w:rsid w:val="006B022A"/>
    <w:rsid w:val="006D0AEA"/>
    <w:rsid w:val="006E76D9"/>
    <w:rsid w:val="007069FC"/>
    <w:rsid w:val="007073D6"/>
    <w:rsid w:val="00713944"/>
    <w:rsid w:val="007209C5"/>
    <w:rsid w:val="007243FB"/>
    <w:rsid w:val="00727A41"/>
    <w:rsid w:val="00767B38"/>
    <w:rsid w:val="00772A68"/>
    <w:rsid w:val="0077444F"/>
    <w:rsid w:val="007976F5"/>
    <w:rsid w:val="007A0856"/>
    <w:rsid w:val="007B248E"/>
    <w:rsid w:val="007C01A6"/>
    <w:rsid w:val="007E2265"/>
    <w:rsid w:val="00805E4F"/>
    <w:rsid w:val="00805FA3"/>
    <w:rsid w:val="008205E5"/>
    <w:rsid w:val="008260A8"/>
    <w:rsid w:val="00883D4E"/>
    <w:rsid w:val="008B731E"/>
    <w:rsid w:val="008C05DD"/>
    <w:rsid w:val="008D71FC"/>
    <w:rsid w:val="008F50D1"/>
    <w:rsid w:val="0094320B"/>
    <w:rsid w:val="00946DFA"/>
    <w:rsid w:val="00950494"/>
    <w:rsid w:val="00962471"/>
    <w:rsid w:val="00967C73"/>
    <w:rsid w:val="00996B86"/>
    <w:rsid w:val="009B267B"/>
    <w:rsid w:val="009E71C6"/>
    <w:rsid w:val="009F3780"/>
    <w:rsid w:val="00A05EBE"/>
    <w:rsid w:val="00A233A4"/>
    <w:rsid w:val="00A71397"/>
    <w:rsid w:val="00A83482"/>
    <w:rsid w:val="00AB5D3A"/>
    <w:rsid w:val="00AB7882"/>
    <w:rsid w:val="00AC01D1"/>
    <w:rsid w:val="00AD26D3"/>
    <w:rsid w:val="00AE5998"/>
    <w:rsid w:val="00B217EA"/>
    <w:rsid w:val="00B2317F"/>
    <w:rsid w:val="00B422A4"/>
    <w:rsid w:val="00B512D6"/>
    <w:rsid w:val="00B83DEE"/>
    <w:rsid w:val="00BA2AAC"/>
    <w:rsid w:val="00BC7177"/>
    <w:rsid w:val="00BD2412"/>
    <w:rsid w:val="00BF2801"/>
    <w:rsid w:val="00C70A9A"/>
    <w:rsid w:val="00C75327"/>
    <w:rsid w:val="00C8322C"/>
    <w:rsid w:val="00C86B3A"/>
    <w:rsid w:val="00CD438C"/>
    <w:rsid w:val="00CE0AB3"/>
    <w:rsid w:val="00D02289"/>
    <w:rsid w:val="00D170AC"/>
    <w:rsid w:val="00D316F5"/>
    <w:rsid w:val="00D34557"/>
    <w:rsid w:val="00D421D2"/>
    <w:rsid w:val="00D520DA"/>
    <w:rsid w:val="00D577FA"/>
    <w:rsid w:val="00D61963"/>
    <w:rsid w:val="00D76A75"/>
    <w:rsid w:val="00D84E79"/>
    <w:rsid w:val="00DE1C51"/>
    <w:rsid w:val="00DE302D"/>
    <w:rsid w:val="00DE69E5"/>
    <w:rsid w:val="00E1129D"/>
    <w:rsid w:val="00E6033A"/>
    <w:rsid w:val="00E633D2"/>
    <w:rsid w:val="00EC03A2"/>
    <w:rsid w:val="00ED02E3"/>
    <w:rsid w:val="00F124E1"/>
    <w:rsid w:val="00F23456"/>
    <w:rsid w:val="00F24E41"/>
    <w:rsid w:val="00F62F44"/>
    <w:rsid w:val="00F93758"/>
    <w:rsid w:val="00FA4143"/>
    <w:rsid w:val="00FA4C0F"/>
    <w:rsid w:val="00FD2214"/>
    <w:rsid w:val="00FE1195"/>
    <w:rsid w:val="00FE712D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1AC67B-D910-43B1-A569-D4B4DC82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No Spacing"/>
    <w:uiPriority w:val="1"/>
    <w:qFormat/>
    <w:rsid w:val="0094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(2)_"/>
    <w:basedOn w:val="a0"/>
    <w:link w:val="21"/>
    <w:rsid w:val="007C01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01A6"/>
    <w:pPr>
      <w:widowControl w:val="0"/>
      <w:shd w:val="clear" w:color="auto" w:fill="FFFFFF"/>
      <w:spacing w:line="274" w:lineRule="exact"/>
      <w:ind w:firstLine="0"/>
    </w:pPr>
    <w:rPr>
      <w:snapToGrid/>
      <w:sz w:val="22"/>
      <w:szCs w:val="22"/>
      <w:lang w:eastAsia="en-US"/>
    </w:rPr>
  </w:style>
  <w:style w:type="character" w:customStyle="1" w:styleId="af3">
    <w:name w:val="комментарий"/>
    <w:rsid w:val="007209C5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4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u/about/proper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4770B-09B0-44B4-BA77-C651A388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Быкова Ольга Викторовна</cp:lastModifiedBy>
  <cp:revision>2</cp:revision>
  <cp:lastPrinted>2018-10-12T06:33:00Z</cp:lastPrinted>
  <dcterms:created xsi:type="dcterms:W3CDTF">2019-04-24T14:36:00Z</dcterms:created>
  <dcterms:modified xsi:type="dcterms:W3CDTF">2019-04-24T14:36:00Z</dcterms:modified>
</cp:coreProperties>
</file>