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инженер  филиала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DC2C07" w:rsidRDefault="00DC2C07" w:rsidP="00DC2C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C2C07" w:rsidRDefault="0027161D" w:rsidP="00DC2C0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_____________2022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инженер  филиала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DC2C07" w:rsidRDefault="00DC2C07" w:rsidP="00DC2C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DC2C07" w:rsidRDefault="0027161D" w:rsidP="00DC2C0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_____________2022</w:t>
                      </w:r>
                      <w:r w:rsidR="00DC2C07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</w:t>
      </w:r>
      <w:bookmarkStart w:id="0" w:name="_GoBack"/>
      <w:bookmarkEnd w:id="0"/>
      <w:r w:rsidR="00185BEA">
        <w:rPr>
          <w:bCs/>
          <w:sz w:val="24"/>
          <w:szCs w:val="24"/>
        </w:rPr>
        <w:t>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Default="00911086" w:rsidP="003C6451">
      <w:pPr>
        <w:ind w:left="360" w:firstLine="916"/>
      </w:pPr>
    </w:p>
    <w:p w:rsidR="007D6820" w:rsidRPr="003C6451" w:rsidRDefault="007D6820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7A76CF">
        <w:rPr>
          <w:bCs/>
          <w:sz w:val="24"/>
          <w:szCs w:val="24"/>
        </w:rPr>
        <w:t xml:space="preserve">мента подписания </w:t>
      </w:r>
      <w:proofErr w:type="gramStart"/>
      <w:r w:rsidR="007A76CF">
        <w:rPr>
          <w:bCs/>
          <w:sz w:val="24"/>
          <w:szCs w:val="24"/>
        </w:rPr>
        <w:t>договора  до</w:t>
      </w:r>
      <w:proofErr w:type="gramEnd"/>
      <w:r w:rsidR="007A76CF">
        <w:rPr>
          <w:bCs/>
          <w:sz w:val="24"/>
          <w:szCs w:val="24"/>
        </w:rPr>
        <w:t xml:space="preserve"> </w:t>
      </w:r>
      <w:r w:rsidR="0027161D">
        <w:rPr>
          <w:bCs/>
          <w:sz w:val="24"/>
          <w:szCs w:val="24"/>
        </w:rPr>
        <w:t>20</w:t>
      </w:r>
      <w:r w:rsidR="00FA512E">
        <w:rPr>
          <w:bCs/>
          <w:sz w:val="24"/>
          <w:szCs w:val="24"/>
        </w:rPr>
        <w:t>.</w:t>
      </w:r>
      <w:r w:rsidR="00D715C0" w:rsidRPr="00D715C0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DC2C07">
        <w:rPr>
          <w:bCs/>
          <w:sz w:val="24"/>
          <w:szCs w:val="24"/>
        </w:rPr>
        <w:t xml:space="preserve">22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203E60" w:rsidRPr="00E800D0">
        <w:rPr>
          <w:b/>
        </w:rPr>
        <w:t xml:space="preserve">Критерии </w:t>
      </w:r>
      <w:proofErr w:type="gramStart"/>
      <w:r w:rsidR="00203E60" w:rsidRPr="00E800D0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9848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349"/>
        <w:gridCol w:w="2221"/>
        <w:gridCol w:w="1857"/>
        <w:gridCol w:w="1462"/>
      </w:tblGrid>
      <w:tr w:rsidR="000B339E" w:rsidRPr="00376C4A" w:rsidTr="000B339E">
        <w:trPr>
          <w:trHeight w:val="492"/>
        </w:trPr>
        <w:tc>
          <w:tcPr>
            <w:tcW w:w="959" w:type="dxa"/>
            <w:shd w:val="clear" w:color="auto" w:fill="auto"/>
          </w:tcPr>
          <w:p w:rsidR="000B339E" w:rsidRPr="00376C4A" w:rsidRDefault="000B339E" w:rsidP="000B339E">
            <w:pPr>
              <w:ind w:left="317"/>
            </w:pPr>
          </w:p>
          <w:p w:rsidR="000B339E" w:rsidRDefault="000B339E" w:rsidP="000B339E">
            <w:pPr>
              <w:ind w:left="776" w:right="96" w:hanging="600"/>
            </w:pPr>
            <w:r w:rsidRPr="00376C4A">
              <w:t xml:space="preserve">№ </w:t>
            </w:r>
          </w:p>
          <w:p w:rsidR="000B339E" w:rsidRPr="00376C4A" w:rsidRDefault="000B339E" w:rsidP="000B339E">
            <w:pPr>
              <w:ind w:left="776" w:right="96" w:hanging="600"/>
            </w:pPr>
            <w:r>
              <w:t>п./п.</w:t>
            </w:r>
          </w:p>
        </w:tc>
        <w:tc>
          <w:tcPr>
            <w:tcW w:w="3349" w:type="dxa"/>
            <w:shd w:val="clear" w:color="auto" w:fill="auto"/>
          </w:tcPr>
          <w:p w:rsidR="000B339E" w:rsidRPr="00376C4A" w:rsidRDefault="000B339E" w:rsidP="000B339E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0B339E" w:rsidRDefault="000B339E" w:rsidP="000B339E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</w:p>
          <w:p w:rsidR="000B339E" w:rsidRPr="00376C4A" w:rsidRDefault="000B339E" w:rsidP="000B339E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0B339E" w:rsidRDefault="000B339E" w:rsidP="000B339E">
            <w:pPr>
              <w:ind w:left="317"/>
            </w:pPr>
            <w:r>
              <w:t>Предельная стоимость нормо-часа работ. (импортных)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62" w:type="dxa"/>
          </w:tcPr>
          <w:p w:rsidR="000B339E" w:rsidRPr="001115B6" w:rsidRDefault="000B339E" w:rsidP="000B339E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0B339E" w:rsidRPr="00020AE2" w:rsidRDefault="000B339E" w:rsidP="000B339E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1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>
              <w:t>1000,00</w:t>
            </w:r>
          </w:p>
        </w:tc>
        <w:tc>
          <w:tcPr>
            <w:tcW w:w="1857" w:type="dxa"/>
          </w:tcPr>
          <w:p w:rsidR="000B339E" w:rsidRPr="00AC51FC" w:rsidRDefault="000B339E" w:rsidP="000B339E">
            <w:pPr>
              <w:jc w:val="center"/>
            </w:pPr>
            <w:r>
              <w:t>1500,00</w:t>
            </w:r>
          </w:p>
        </w:tc>
        <w:tc>
          <w:tcPr>
            <w:tcW w:w="1462" w:type="dxa"/>
          </w:tcPr>
          <w:p w:rsidR="000B339E" w:rsidRPr="007F5830" w:rsidRDefault="000B339E" w:rsidP="000B339E">
            <w:pPr>
              <w:jc w:val="center"/>
              <w:rPr>
                <w:b/>
              </w:rPr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2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4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без НДС</w:t>
            </w:r>
          </w:p>
        </w:tc>
        <w:tc>
          <w:tcPr>
            <w:tcW w:w="2221" w:type="dxa"/>
          </w:tcPr>
          <w:p w:rsidR="000B339E" w:rsidRPr="000B339E" w:rsidRDefault="0027161D" w:rsidP="000B339E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="000B339E" w:rsidRPr="000B339E">
              <w:rPr>
                <w:i/>
              </w:rPr>
              <w:t>000,00</w:t>
            </w:r>
          </w:p>
        </w:tc>
        <w:tc>
          <w:tcPr>
            <w:tcW w:w="1857" w:type="dxa"/>
          </w:tcPr>
          <w:p w:rsidR="000B339E" w:rsidRPr="000B339E" w:rsidRDefault="0027161D" w:rsidP="000B339E">
            <w:pPr>
              <w:jc w:val="center"/>
              <w:rPr>
                <w:i/>
              </w:rPr>
            </w:pPr>
            <w:r>
              <w:rPr>
                <w:i/>
              </w:rPr>
              <w:t>60</w:t>
            </w:r>
            <w:r w:rsidR="000B339E" w:rsidRPr="000B339E">
              <w:rPr>
                <w:i/>
              </w:rPr>
              <w:t>00,00</w:t>
            </w:r>
          </w:p>
        </w:tc>
        <w:tc>
          <w:tcPr>
            <w:tcW w:w="1462" w:type="dxa"/>
          </w:tcPr>
          <w:p w:rsidR="000B339E" w:rsidRPr="000B339E" w:rsidRDefault="0027161D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10 0</w:t>
            </w:r>
            <w:r w:rsidR="000B339E" w:rsidRPr="000B339E">
              <w:rPr>
                <w:b/>
                <w:i/>
              </w:rPr>
              <w:t>00,00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221" w:type="dxa"/>
          </w:tcPr>
          <w:p w:rsidR="000B339E" w:rsidRPr="000B339E" w:rsidRDefault="0027161D" w:rsidP="000B339E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  <w:r w:rsidR="000B339E" w:rsidRPr="000B339E">
              <w:rPr>
                <w:i/>
              </w:rPr>
              <w:t>00,00</w:t>
            </w:r>
          </w:p>
        </w:tc>
        <w:tc>
          <w:tcPr>
            <w:tcW w:w="1857" w:type="dxa"/>
          </w:tcPr>
          <w:p w:rsidR="000B339E" w:rsidRPr="000B339E" w:rsidRDefault="0027161D" w:rsidP="000B339E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  <w:r w:rsidR="000B339E" w:rsidRPr="000B339E">
              <w:rPr>
                <w:i/>
              </w:rPr>
              <w:t>00,00</w:t>
            </w:r>
          </w:p>
        </w:tc>
        <w:tc>
          <w:tcPr>
            <w:tcW w:w="1462" w:type="dxa"/>
          </w:tcPr>
          <w:p w:rsidR="000B339E" w:rsidRPr="000B339E" w:rsidRDefault="0027161D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0B339E">
              <w:rPr>
                <w:b/>
                <w:i/>
              </w:rPr>
              <w:t xml:space="preserve"> 0</w:t>
            </w:r>
            <w:r w:rsidR="000B339E" w:rsidRPr="000B339E">
              <w:rPr>
                <w:b/>
                <w:i/>
              </w:rPr>
              <w:t>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125A02">
        <w:rPr>
          <w:sz w:val="24"/>
          <w:szCs w:val="24"/>
        </w:rPr>
        <w:t>между  подрядчиком</w:t>
      </w:r>
      <w:proofErr w:type="gramEnd"/>
      <w:r w:rsidR="00AB61F6" w:rsidRPr="00125A02">
        <w:rPr>
          <w:sz w:val="24"/>
          <w:szCs w:val="24"/>
        </w:rPr>
        <w:t xml:space="preserve">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044D34" w:rsidRDefault="005C1305" w:rsidP="00044D34">
      <w:pPr>
        <w:ind w:firstLine="360"/>
      </w:pPr>
      <w:r w:rsidRPr="005C1305">
        <w:t xml:space="preserve">                     </w:t>
      </w:r>
      <w:r w:rsidR="00044D34">
        <w:t xml:space="preserve">Начальник </w:t>
      </w:r>
      <w:proofErr w:type="gramStart"/>
      <w:r w:rsidR="00044D34">
        <w:t xml:space="preserve">службы  </w:t>
      </w:r>
      <w:proofErr w:type="spellStart"/>
      <w:r w:rsidR="00044D34">
        <w:t>СМиТ</w:t>
      </w:r>
      <w:proofErr w:type="spellEnd"/>
      <w:proofErr w:type="gramEnd"/>
      <w:r w:rsidR="00044D34">
        <w:t xml:space="preserve">                                                 Е.В. Ворнавской</w:t>
      </w:r>
    </w:p>
    <w:p w:rsidR="00044D34" w:rsidRDefault="00044D34" w:rsidP="00044D34">
      <w:pPr>
        <w:ind w:firstLine="360"/>
      </w:pP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339E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161D"/>
    <w:rsid w:val="002726BF"/>
    <w:rsid w:val="00275D93"/>
    <w:rsid w:val="00277F61"/>
    <w:rsid w:val="00281627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52BA4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1A7D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343C"/>
    <w:rsid w:val="007D4186"/>
    <w:rsid w:val="007D6820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62737"/>
    <w:rsid w:val="00D700A9"/>
    <w:rsid w:val="00D715C0"/>
    <w:rsid w:val="00D72DB6"/>
    <w:rsid w:val="00DA01CF"/>
    <w:rsid w:val="00DA4EA6"/>
    <w:rsid w:val="00DC2C07"/>
    <w:rsid w:val="00DF633D"/>
    <w:rsid w:val="00E04882"/>
    <w:rsid w:val="00E06D23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61E90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2022-07-28T05:53:00Z</cp:lastPrinted>
  <dcterms:created xsi:type="dcterms:W3CDTF">2022-07-27T05:28:00Z</dcterms:created>
  <dcterms:modified xsi:type="dcterms:W3CDTF">2022-07-28T05:53:00Z</dcterms:modified>
</cp:coreProperties>
</file>