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Приложение № 4</w:t>
      </w:r>
      <w:r>
        <w:rPr>
          <w:bCs/>
          <w:color w:val="000000"/>
          <w:sz w:val="26"/>
          <w:szCs w:val="26"/>
        </w:rPr>
        <w:t>.</w:t>
      </w:r>
      <w:r w:rsidRPr="00FF6563">
        <w:rPr>
          <w:bCs/>
          <w:color w:val="000000"/>
          <w:sz w:val="26"/>
          <w:szCs w:val="26"/>
        </w:rPr>
        <w:t>7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</w:t>
      </w:r>
      <w:r>
        <w:rPr>
          <w:bCs/>
          <w:color w:val="000000"/>
          <w:sz w:val="26"/>
          <w:szCs w:val="26"/>
        </w:rPr>
        <w:t xml:space="preserve">                       </w:t>
      </w:r>
      <w:r w:rsidRPr="00FF6563">
        <w:rPr>
          <w:bCs/>
          <w:color w:val="000000"/>
          <w:sz w:val="26"/>
          <w:szCs w:val="26"/>
        </w:rPr>
        <w:t xml:space="preserve">к приказу </w:t>
      </w:r>
      <w:r w:rsidR="00300FE8">
        <w:rPr>
          <w:bCs/>
          <w:color w:val="000000"/>
          <w:sz w:val="26"/>
          <w:szCs w:val="26"/>
        </w:rPr>
        <w:t>ПАО</w:t>
      </w:r>
      <w:r w:rsidRPr="00FF6563">
        <w:rPr>
          <w:bCs/>
          <w:color w:val="000000"/>
          <w:sz w:val="26"/>
          <w:szCs w:val="26"/>
        </w:rPr>
        <w:t xml:space="preserve"> «МРСК Центра»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  <w:lang w:val="en-US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         от ____________ № _____________</w:t>
      </w:r>
    </w:p>
    <w:p w:rsidR="00FF6563" w:rsidRDefault="00FF6563" w:rsidP="001857B2">
      <w:pPr>
        <w:jc w:val="center"/>
        <w:rPr>
          <w:b/>
          <w:lang w:val="en-US"/>
        </w:rPr>
      </w:pPr>
    </w:p>
    <w:p w:rsidR="00FF6563" w:rsidRDefault="00FF6563" w:rsidP="001857B2">
      <w:pPr>
        <w:jc w:val="center"/>
        <w:rPr>
          <w:b/>
          <w:lang w:val="en-US"/>
        </w:rPr>
      </w:pPr>
    </w:p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</w:t>
      </w:r>
      <w:r w:rsidR="00300FE8">
        <w:rPr>
          <w:b/>
          <w:sz w:val="26"/>
          <w:szCs w:val="26"/>
        </w:rPr>
        <w:t>ПАО</w:t>
      </w:r>
      <w:r w:rsidRPr="000A0C30">
        <w:rPr>
          <w:b/>
          <w:sz w:val="26"/>
          <w:szCs w:val="26"/>
        </w:rPr>
        <w:t xml:space="preserve">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r w:rsidRPr="00717DF5">
              <w:rPr>
                <w:b/>
              </w:rPr>
              <w:t>г.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</w:r>
      <w:r w:rsidR="00300FE8">
        <w:rPr>
          <w:b/>
        </w:rPr>
        <w:t>Публичное акционерное общество</w:t>
      </w:r>
      <w:r w:rsidRPr="00717DF5">
        <w:rPr>
          <w:b/>
        </w:rPr>
        <w:t xml:space="preserve">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>указывается документ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>. Услуги/работы оказываются/выполняются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>Оказываемые услуги</w:t>
      </w:r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r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 в течение 21</w:t>
      </w:r>
      <w:r w:rsidRPr="00213099">
        <w:rPr>
          <w:lang w:eastAsia="en-US"/>
        </w:rPr>
        <w:t xml:space="preserve"> </w:t>
      </w:r>
      <w:r w:rsidR="00DF05F9">
        <w:rPr>
          <w:bCs/>
        </w:rPr>
        <w:t>(двадцати одного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рабочего дня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средств с расчетного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обязан принять оказанные услуги</w:t>
      </w:r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обязан оплатить оказанные услуги</w:t>
      </w:r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300FE8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300FE8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65104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 w:rsidRPr="00300FE8">
        <w:t xml:space="preserve">       </w:t>
      </w:r>
      <w:r w:rsidRPr="00300FE8">
        <w:rPr>
          <w:rFonts w:eastAsia="Calibri"/>
          <w:lang w:eastAsia="en-US"/>
        </w:rPr>
        <w:t xml:space="preserve">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в течении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r w:rsidR="00571F9F">
        <w:t xml:space="preserve">пп.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r w:rsidR="003C5BA0">
        <w:t>оказания услуг</w:t>
      </w:r>
      <w:r w:rsidR="009C08CD">
        <w:t>/выполнения работ</w:t>
      </w:r>
      <w:r w:rsidRPr="00717DF5">
        <w:t xml:space="preserve"> указания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 xml:space="preserve">субподрядчиков), в том числе, таких как  выдача предписания,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 xml:space="preserve">.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0" w:author="Черноиванов Евгений Александрович" w:date="2013-08-29T09:35:00Z">
        <w:r>
          <w:t xml:space="preserve"> </w:t>
        </w:r>
      </w:ins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6B4BEB" w:rsidRPr="00A65104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за: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до </w:t>
      </w:r>
      <w:r w:rsidR="003135B1">
        <w:t>_________________</w:t>
      </w:r>
      <w:r w:rsidRPr="00717DF5">
        <w:t>, при условии полного выполнения сторонами обязательств по настоящему Договору.</w:t>
      </w:r>
      <w:r w:rsidR="00C767F9">
        <w:t xml:space="preserve"> В случае,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>В случае,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r w:rsidR="00D52BB6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 ___ (__________)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контроля за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r w:rsidR="00F93910">
        <w:rPr>
          <w:rFonts w:ascii="Times New Roman" w:hAnsi="Times New Roman"/>
          <w:sz w:val="24"/>
          <w:szCs w:val="24"/>
        </w:rPr>
        <w:t>,</w:t>
      </w:r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Договор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00FE8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3F6CFC" w:rsidRPr="00976248">
              <w:t xml:space="preserve"> «МРСК Центра»</w:t>
            </w:r>
            <w:r w:rsidR="003F6CFC">
              <w:t xml:space="preserve"> </w:t>
            </w:r>
            <w:r w:rsidR="003F6CFC"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р/с: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р/с: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№ п/п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300FE8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300FE8">
        <w:t>ПАО</w:t>
      </w:r>
      <w:r>
        <w:t xml:space="preserve">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300FE8">
        <w:t>ПАО</w:t>
      </w:r>
      <w:r w:rsidRPr="00466F10">
        <w:t> «</w:t>
      </w:r>
      <w:r>
        <w:t>МРСК Центра»/</w:t>
      </w:r>
      <w:r w:rsidR="00300FE8">
        <w:t>ПАО</w:t>
      </w:r>
      <w:r>
        <w:t xml:space="preserve">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65104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CD6487" w:rsidRPr="00A6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C6" w:rsidRDefault="00B319C6">
      <w:r>
        <w:separator/>
      </w:r>
    </w:p>
  </w:endnote>
  <w:endnote w:type="continuationSeparator" w:id="0">
    <w:p w:rsidR="00B319C6" w:rsidRDefault="00B3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C6" w:rsidRDefault="00B319C6">
      <w:r>
        <w:separator/>
      </w:r>
    </w:p>
  </w:footnote>
  <w:footnote w:type="continuationSeparator" w:id="0">
    <w:p w:rsidR="00B319C6" w:rsidRDefault="00B319C6">
      <w:r>
        <w:continuationSeparator/>
      </w:r>
    </w:p>
  </w:footnote>
  <w:footnote w:id="1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="00A65104" w:rsidRPr="00300FE8">
        <w:rPr>
          <w:i/>
        </w:rPr>
        <w:t xml:space="preserve">Пункт включается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097C7E" w:rsidRDefault="009B771B" w:rsidP="009B771B">
      <w:pPr>
        <w:pStyle w:val="a3"/>
        <w:rPr>
          <w:i/>
        </w:rPr>
      </w:pP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 w:rsidR="00300FE8">
        <w:rPr>
          <w:i/>
        </w:rPr>
        <w:t>ПАО</w:t>
      </w:r>
      <w:r>
        <w:rPr>
          <w:i/>
        </w:rPr>
        <w:t xml:space="preserve"> «Россети»/</w:t>
      </w:r>
      <w:r w:rsidR="00300FE8">
        <w:rPr>
          <w:i/>
        </w:rPr>
        <w:t>ПАО</w:t>
      </w:r>
      <w:r w:rsidRPr="00CE1684">
        <w:rPr>
          <w:i/>
        </w:rPr>
        <w:t xml:space="preserve">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  <w:p w:rsidR="009B771B" w:rsidRDefault="009B771B" w:rsidP="009B771B">
      <w:pPr>
        <w:pStyle w:val="a3"/>
      </w:pPr>
    </w:p>
  </w:footnote>
  <w:footnote w:id="4">
    <w:p w:rsidR="009B771B" w:rsidRPr="00300FE8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 xml:space="preserve">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</w:t>
      </w:r>
      <w:r w:rsidRPr="00300FE8">
        <w:rPr>
          <w:i/>
          <w:sz w:val="20"/>
          <w:szCs w:val="20"/>
        </w:rPr>
        <w:t>участие в закупочной процедуре.</w:t>
      </w:r>
    </w:p>
  </w:footnote>
  <w:footnote w:id="5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Pr="00300FE8">
        <w:rPr>
          <w:i/>
        </w:rPr>
        <w:t xml:space="preserve"> </w:t>
      </w:r>
      <w:r w:rsidR="00A65104" w:rsidRPr="00300FE8">
        <w:rPr>
          <w:i/>
        </w:rPr>
        <w:t xml:space="preserve">Пункт включается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A521E2" w:rsidRDefault="009B771B" w:rsidP="009B771B">
      <w:pPr>
        <w:pStyle w:val="a3"/>
        <w:rPr>
          <w:i/>
        </w:rPr>
      </w:pP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 w:rsidR="00300FE8"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 w:rsidR="00300FE8">
        <w:rPr>
          <w:i/>
        </w:rPr>
        <w:t>ПАО</w:t>
      </w:r>
      <w:r w:rsidRPr="00501D52">
        <w:rPr>
          <w:i/>
        </w:rPr>
        <w:t xml:space="preserve"> «МРСК Центра» - «__________________ энерго»).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9F50E9" w:rsidRDefault="009F50E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0E6" w:rsidRPr="00CE50E6">
          <w:rPr>
            <w:noProof/>
            <w:lang w:val="ru-RU"/>
          </w:rPr>
          <w:t>18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2140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0FE8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19C6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0E6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D28CF-7AE7-4C05-BAFE-A52AE968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6918</Words>
  <Characters>39436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41</cp:revision>
  <cp:lastPrinted>2013-02-04T07:20:00Z</cp:lastPrinted>
  <dcterms:created xsi:type="dcterms:W3CDTF">2013-03-28T09:19:00Z</dcterms:created>
  <dcterms:modified xsi:type="dcterms:W3CDTF">2015-07-27T12:20:00Z</dcterms:modified>
</cp:coreProperties>
</file>