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A75A03" w:rsidRPr="00D10768" w:rsidRDefault="00A75A03" w:rsidP="00A75A03">
      <w:pPr>
        <w:jc w:val="right"/>
      </w:pPr>
      <w:r w:rsidRPr="00D10768">
        <w:t xml:space="preserve">____________________ </w:t>
      </w:r>
      <w:r w:rsidR="006E6FE5">
        <w:t>Д.С. Литвиненко</w:t>
      </w: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4C2C2C" w:rsidP="00A75A03">
      <w:pPr>
        <w:shd w:val="clear" w:color="auto" w:fill="FFFFFF" w:themeFill="background1"/>
        <w:spacing w:after="0"/>
        <w:ind w:left="6804"/>
        <w:rPr>
          <w:b/>
          <w:kern w:val="36"/>
        </w:rPr>
      </w:pPr>
      <w:r>
        <w:rPr>
          <w:b/>
          <w:kern w:val="36"/>
        </w:rPr>
        <w:t>Протокол № 0182</w:t>
      </w:r>
      <w:r w:rsidR="00A75A03">
        <w:rPr>
          <w:b/>
          <w:kern w:val="36"/>
        </w:rPr>
        <w:t>-ЯР</w:t>
      </w:r>
      <w:r w:rsidR="00176B73">
        <w:rPr>
          <w:b/>
          <w:kern w:val="36"/>
        </w:rPr>
        <w:t>-22</w:t>
      </w:r>
    </w:p>
    <w:p w:rsidR="00A75A03" w:rsidRPr="00A932C2" w:rsidRDefault="004C2C2C" w:rsidP="00A75A03">
      <w:pPr>
        <w:shd w:val="clear" w:color="auto" w:fill="FFFFFF" w:themeFill="background1"/>
        <w:spacing w:after="0"/>
        <w:ind w:left="6804"/>
        <w:rPr>
          <w:b/>
          <w:kern w:val="36"/>
        </w:rPr>
      </w:pPr>
      <w:r>
        <w:rPr>
          <w:b/>
          <w:kern w:val="36"/>
        </w:rPr>
        <w:t>от «04</w:t>
      </w:r>
      <w:r w:rsidR="006E6FE5">
        <w:rPr>
          <w:b/>
          <w:kern w:val="36"/>
        </w:rPr>
        <w:t>» августа</w:t>
      </w:r>
      <w:r w:rsidR="00A75A03" w:rsidRPr="00A932C2">
        <w:rPr>
          <w:b/>
          <w:kern w:val="36"/>
        </w:rPr>
        <w:t xml:space="preserve"> </w:t>
      </w:r>
      <w:r w:rsidR="00176B73">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 xml:space="preserve">Договора на </w:t>
      </w:r>
      <w:r w:rsidR="00C9131F">
        <w:t>в</w:t>
      </w:r>
      <w:r w:rsidR="00C9131F" w:rsidRPr="00C9131F">
        <w:t>ыполнение строительно-монтажных работ по реконструкции канализационной сети Ду=150мм. От производственного здания до сетевого колодца центральной канализации протяженностью 200 м., инвентарный №3002688, с восстановлением газонов и асфальтового покрытия 300 кв. м. в зоне эксплуатационной ответственности филиала ПАО "Россети Центр"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176B73">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C2C2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4C2C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4C2C2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4C2C2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4C2C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4C2C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4C2C2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4C2C2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w:t>
      </w:r>
      <w:r w:rsidRPr="009A0BC3">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9A0BC3">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lastRenderedPageBreak/>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9A0BC3">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lastRenderedPageBreak/>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lastRenderedPageBreak/>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9A0BC3">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lastRenderedPageBreak/>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 xml:space="preserve">Переторжка может проводиться как путем </w:t>
      </w:r>
      <w:r w:rsidR="00300F36" w:rsidRPr="003A3E07">
        <w:rPr>
          <w:rFonts w:ascii="Times New Roman" w:hAnsi="Times New Roman" w:cs="Times New Roman"/>
          <w:b w:val="0"/>
          <w:bCs w:val="0"/>
        </w:rPr>
        <w:lastRenderedPageBreak/>
        <w:t>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w:t>
      </w:r>
      <w:r w:rsidRPr="009A0BC3">
        <w:rPr>
          <w:rFonts w:ascii="Times New Roman" w:hAnsi="Times New Roman" w:cs="Times New Roman"/>
          <w:b w:val="0"/>
          <w:bCs w:val="0"/>
        </w:rPr>
        <w:lastRenderedPageBreak/>
        <w:t>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w:t>
      </w:r>
      <w:r w:rsidRPr="00093F5A">
        <w:rPr>
          <w:rFonts w:ascii="Times New Roman" w:hAnsi="Times New Roman" w:cs="Times New Roman"/>
          <w:b w:val="0"/>
          <w:bCs w:val="0"/>
        </w:rPr>
        <w:lastRenderedPageBreak/>
        <w:t xml:space="preserve">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w:t>
      </w:r>
      <w:r w:rsidRPr="009A0BC3">
        <w:lastRenderedPageBreak/>
        <w:t>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lastRenderedPageBreak/>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lastRenderedPageBreak/>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C9131F">
              <w:t xml:space="preserve"> </w:t>
            </w:r>
            <w:r w:rsidR="00C9131F">
              <w:rPr>
                <w:b/>
              </w:rPr>
              <w:t>в</w:t>
            </w:r>
            <w:bookmarkStart w:id="435" w:name="_GoBack"/>
            <w:bookmarkEnd w:id="435"/>
            <w:r w:rsidR="00C9131F" w:rsidRPr="00C9131F">
              <w:rPr>
                <w:b/>
              </w:rPr>
              <w:t>ыполнение строительно-монтажных работ по реконструкции канализационной сети Ду=150мм. От производственного здания до сетевого колодца центральной канализации протяженностью 200 м., инвентарный №3002688, с восстановлением газонов и асфальтового покрытия 300 кв. м. в зоне эксплуатационной ответственности филиала ПАО "Россети Центр" - "Ярэнерго"</w:t>
            </w:r>
            <w:r w:rsidRPr="00A75A03">
              <w:t>,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176B73" w:rsidRPr="00176B73" w:rsidRDefault="006E6FE5" w:rsidP="00176B73">
            <w:pPr>
              <w:widowControl w:val="0"/>
              <w:tabs>
                <w:tab w:val="num" w:pos="0"/>
              </w:tabs>
              <w:autoSpaceDE w:val="0"/>
              <w:autoSpaceDN w:val="0"/>
              <w:adjustRightInd w:val="0"/>
              <w:spacing w:after="120"/>
              <w:ind w:right="175"/>
            </w:pPr>
            <w:r>
              <w:t>Сроки выполнения работ</w:t>
            </w:r>
            <w:r w:rsidR="00176B73" w:rsidRPr="00176B73">
              <w:t xml:space="preserve">: </w:t>
            </w:r>
            <w:r w:rsidR="00C9131F">
              <w:t>до 30.11.2022</w:t>
            </w:r>
          </w:p>
          <w:p w:rsidR="007E4F0F" w:rsidRPr="005F13AC" w:rsidRDefault="007E4F0F" w:rsidP="00A75A03">
            <w:pPr>
              <w:widowControl w:val="0"/>
              <w:tabs>
                <w:tab w:val="num" w:pos="0"/>
              </w:tabs>
              <w:autoSpaceDE w:val="0"/>
              <w:autoSpaceDN w:val="0"/>
              <w:adjustRightInd w:val="0"/>
              <w:spacing w:after="120"/>
              <w:ind w:right="175"/>
            </w:pPr>
          </w:p>
          <w:p w:rsidR="00A75A03" w:rsidRDefault="00A75A03" w:rsidP="007E4F0F">
            <w:pPr>
              <w:widowControl w:val="0"/>
              <w:autoSpaceDE w:val="0"/>
              <w:autoSpaceDN w:val="0"/>
              <w:adjustRightInd w:val="0"/>
              <w:spacing w:after="120"/>
              <w:ind w:right="175"/>
            </w:pPr>
          </w:p>
          <w:p w:rsidR="007E4F0F" w:rsidRPr="005F13AC" w:rsidRDefault="006E6FE5" w:rsidP="007E4F0F">
            <w:pPr>
              <w:widowControl w:val="0"/>
              <w:autoSpaceDE w:val="0"/>
              <w:autoSpaceDN w:val="0"/>
              <w:adjustRightInd w:val="0"/>
              <w:spacing w:after="120"/>
              <w:ind w:right="175"/>
            </w:pPr>
            <w:r>
              <w:t xml:space="preserve">Выполнение работ </w:t>
            </w:r>
            <w:r w:rsidR="007E4F0F" w:rsidRPr="005F13AC">
              <w:t xml:space="preserve">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lastRenderedPageBreak/>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131F" w:rsidRPr="00C9131F" w:rsidRDefault="00E7618B" w:rsidP="00C9131F">
            <w:pPr>
              <w:widowControl w:val="0"/>
              <w:tabs>
                <w:tab w:val="num" w:pos="1620"/>
              </w:tabs>
              <w:overflowPunct w:val="0"/>
              <w:autoSpaceDE w:val="0"/>
              <w:autoSpaceDN w:val="0"/>
              <w:adjustRightInd w:val="0"/>
              <w:spacing w:after="120"/>
              <w:ind w:left="33" w:right="176"/>
              <w:rPr>
                <w:bCs/>
              </w:rPr>
            </w:pPr>
            <w:r w:rsidRPr="00CC1343">
              <w:br w:type="page"/>
            </w:r>
            <w:r w:rsidR="00C9131F" w:rsidRPr="00C9131F">
              <w:rPr>
                <w:b/>
                <w:u w:val="single"/>
              </w:rPr>
              <w:t>По Лоту №1:</w:t>
            </w:r>
            <w:r w:rsidR="00C9131F" w:rsidRPr="00C9131F">
              <w:t xml:space="preserve"> </w:t>
            </w:r>
            <w:r w:rsidR="00C9131F" w:rsidRPr="00C9131F">
              <w:rPr>
                <w:b/>
              </w:rPr>
              <w:t>2 813 350,00</w:t>
            </w:r>
            <w:r w:rsidR="00C9131F" w:rsidRPr="00C9131F">
              <w:t xml:space="preserve"> </w:t>
            </w:r>
            <w:r w:rsidR="00C9131F" w:rsidRPr="00C9131F">
              <w:rPr>
                <w:bCs/>
              </w:rPr>
              <w:t xml:space="preserve">(два миллиона восемьсот тринадцать тысяч триста пятьдесят) рублей 00 копеек РФ, без учета НДС; НДС составляет </w:t>
            </w:r>
            <w:r w:rsidR="00C9131F" w:rsidRPr="00C9131F">
              <w:rPr>
                <w:b/>
                <w:bCs/>
              </w:rPr>
              <w:t>562 670,00</w:t>
            </w:r>
            <w:r w:rsidR="00C9131F" w:rsidRPr="00C9131F">
              <w:rPr>
                <w:bCs/>
              </w:rPr>
              <w:t xml:space="preserve"> (пятьсот шестьдесят две тысячи шестьсот семьдесят) рублей 00 копеек РФ; </w:t>
            </w:r>
            <w:r w:rsidR="00C9131F" w:rsidRPr="00C9131F">
              <w:rPr>
                <w:b/>
                <w:bCs/>
              </w:rPr>
              <w:t xml:space="preserve"> 3 376 020,00 </w:t>
            </w:r>
            <w:r w:rsidR="00C9131F" w:rsidRPr="00C9131F">
              <w:rPr>
                <w:bCs/>
              </w:rPr>
              <w:t xml:space="preserve">(три миллиона триста семьдесят шесть тысяч двадцать) рублей 00 копеек РФ, с учетом НДС </w:t>
            </w:r>
          </w:p>
          <w:p w:rsidR="00C9131F" w:rsidRPr="00C9131F" w:rsidRDefault="00C9131F" w:rsidP="00C9131F">
            <w:pPr>
              <w:widowControl w:val="0"/>
              <w:tabs>
                <w:tab w:val="num" w:pos="1620"/>
              </w:tabs>
              <w:overflowPunct w:val="0"/>
              <w:autoSpaceDE w:val="0"/>
              <w:autoSpaceDN w:val="0"/>
              <w:adjustRightInd w:val="0"/>
              <w:spacing w:after="120"/>
              <w:ind w:left="33" w:right="176"/>
              <w:rPr>
                <w:rFonts w:eastAsia="Calibri"/>
                <w:bCs/>
                <w:lang w:eastAsia="en-US"/>
              </w:rPr>
            </w:pPr>
          </w:p>
          <w:p w:rsidR="00C9131F" w:rsidRPr="00C9131F" w:rsidRDefault="00C9131F" w:rsidP="00C9131F">
            <w:pPr>
              <w:widowControl w:val="0"/>
              <w:spacing w:after="0"/>
              <w:ind w:right="175"/>
              <w:rPr>
                <w:rFonts w:eastAsia="Calibri"/>
              </w:rPr>
            </w:pPr>
          </w:p>
          <w:p w:rsidR="00C9131F" w:rsidRPr="00C9131F" w:rsidRDefault="00C9131F" w:rsidP="00C9131F">
            <w:pPr>
              <w:widowControl w:val="0"/>
              <w:spacing w:after="0"/>
              <w:ind w:left="33" w:right="176"/>
              <w:rPr>
                <w:rFonts w:eastAsia="Calibri"/>
              </w:rPr>
            </w:pPr>
            <w:r w:rsidRPr="00C9131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E6FE5" w:rsidRPr="006E0D65" w:rsidRDefault="006E6FE5" w:rsidP="00E7618B">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w:t>
            </w:r>
            <w:r w:rsidR="006E6FE5">
              <w:rPr>
                <w:iCs/>
              </w:rPr>
              <w:t>оплата производится в течение 7 (семи</w:t>
            </w:r>
            <w:r w:rsidRPr="006E0D65">
              <w:rPr>
                <w:iCs/>
              </w:rPr>
              <w:t xml:space="preserve">)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C9131F">
              <w:rPr>
                <w:b/>
                <w:bCs/>
              </w:rPr>
              <w:t xml:space="preserve">04 </w:t>
            </w:r>
            <w:r w:rsidR="001666DC">
              <w:rPr>
                <w:b/>
                <w:bCs/>
              </w:rPr>
              <w:t>августа</w:t>
            </w:r>
            <w:r w:rsidR="00176B73">
              <w:rPr>
                <w:b/>
                <w:bCs/>
              </w:rPr>
              <w:t xml:space="preserve"> </w:t>
            </w:r>
            <w:r w:rsidRPr="00A75A03">
              <w:rPr>
                <w:b/>
                <w:bCs/>
              </w:rPr>
              <w:t xml:space="preserve"> </w:t>
            </w:r>
            <w:r w:rsidR="006236A9" w:rsidRPr="00A75A03">
              <w:rPr>
                <w:b/>
                <w:bCs/>
              </w:rPr>
              <w:t>202</w:t>
            </w:r>
            <w:r w:rsidR="00176B73">
              <w:rPr>
                <w:b/>
                <w:bCs/>
              </w:rPr>
              <w:t>2</w:t>
            </w:r>
            <w:r w:rsidRPr="00A75A03">
              <w:rPr>
                <w:b/>
                <w:bCs/>
              </w:rPr>
              <w:t xml:space="preserve"> года;</w:t>
            </w:r>
            <w:bookmarkEnd w:id="443"/>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762965"/>
            <w:r w:rsidRPr="00A75A03">
              <w:t>Дата и время окончания срока, последний день срока подачи Заявок:</w:t>
            </w:r>
            <w:bookmarkEnd w:id="444"/>
          </w:p>
          <w:p w:rsidR="007E4F0F" w:rsidRPr="00A75A03" w:rsidRDefault="00C9131F" w:rsidP="007E4F0F">
            <w:pPr>
              <w:widowControl w:val="0"/>
              <w:tabs>
                <w:tab w:val="left" w:pos="0"/>
              </w:tabs>
              <w:spacing w:after="0" w:line="264" w:lineRule="auto"/>
              <w:ind w:left="1134" w:right="175"/>
            </w:pPr>
            <w:r>
              <w:rPr>
                <w:b/>
              </w:rPr>
              <w:t>16</w:t>
            </w:r>
            <w:r w:rsidR="001666DC">
              <w:rPr>
                <w:b/>
              </w:rPr>
              <w:t xml:space="preserve">  августа</w:t>
            </w:r>
            <w:r w:rsidR="00A75A03" w:rsidRPr="00A75A03">
              <w:rPr>
                <w:b/>
              </w:rPr>
              <w:t xml:space="preserve"> </w:t>
            </w:r>
            <w:r w:rsidR="007E4F0F" w:rsidRPr="00A75A03">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1109521"/>
            <w:r w:rsidRPr="00A75A03">
              <w:t>Рассмотрение заявок (общих частей):</w:t>
            </w:r>
            <w:bookmarkEnd w:id="445"/>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C9131F">
              <w:rPr>
                <w:b/>
                <w:color w:val="auto"/>
              </w:rPr>
              <w:t>25</w:t>
            </w:r>
            <w:r w:rsidR="001666DC">
              <w:rPr>
                <w:b/>
                <w:color w:val="auto"/>
              </w:rPr>
              <w:t xml:space="preserve">  августа</w:t>
            </w:r>
            <w:r w:rsidR="00176B73">
              <w:rPr>
                <w:b/>
                <w:color w:val="auto"/>
              </w:rPr>
              <w:t xml:space="preserve">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75A03">
              <w:t>Рассмотрение заявок (ценовых частей)</w:t>
            </w:r>
            <w:bookmarkEnd w:id="446"/>
            <w:r w:rsidRPr="00A75A03">
              <w:t>:</w:t>
            </w:r>
            <w:bookmarkEnd w:id="447"/>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C9131F">
              <w:rPr>
                <w:b/>
                <w:color w:val="auto"/>
              </w:rPr>
              <w:t>26</w:t>
            </w:r>
            <w:r w:rsidR="00176B73">
              <w:rPr>
                <w:b/>
                <w:color w:val="auto"/>
              </w:rPr>
              <w:t xml:space="preserve"> </w:t>
            </w:r>
            <w:r w:rsidR="00DC0DDC" w:rsidRPr="00A75A03">
              <w:rPr>
                <w:b/>
                <w:color w:val="auto"/>
              </w:rPr>
              <w:t> </w:t>
            </w:r>
            <w:r w:rsidR="001666DC">
              <w:rPr>
                <w:b/>
                <w:color w:val="auto"/>
              </w:rPr>
              <w:t>августа</w:t>
            </w:r>
            <w:r w:rsidR="00176B73">
              <w:rPr>
                <w:b/>
                <w:color w:val="auto"/>
              </w:rPr>
              <w:t xml:space="preserve"> </w:t>
            </w:r>
            <w:r w:rsidRPr="00123CB0">
              <w:rPr>
                <w:b/>
                <w:color w:val="auto"/>
              </w:rPr>
              <w:t xml:space="preserve"> </w:t>
            </w:r>
            <w:r w:rsidR="00A75A03">
              <w:rPr>
                <w:b/>
                <w:color w:val="auto"/>
              </w:rPr>
              <w:t>2022</w:t>
            </w:r>
            <w:r w:rsidRPr="00123CB0">
              <w:rPr>
                <w:b/>
                <w:color w:val="auto"/>
              </w:rPr>
              <w:t xml:space="preserve"> года;</w:t>
            </w:r>
          </w:p>
          <w:bookmarkEnd w:id="448"/>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176B73">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C9131F">
              <w:rPr>
                <w:b/>
              </w:rPr>
              <w:t>09</w:t>
            </w:r>
            <w:r w:rsidR="001666DC">
              <w:rPr>
                <w:b/>
              </w:rPr>
              <w:t xml:space="preserve"> августа</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lastRenderedPageBreak/>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lastRenderedPageBreak/>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w:t>
            </w:r>
            <w:r w:rsidRPr="009E7417">
              <w:rPr>
                <w:sz w:val="24"/>
                <w:szCs w:val="24"/>
              </w:rPr>
              <w:lastRenderedPageBreak/>
              <w:t>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lastRenderedPageBreak/>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03744D">
              <w:lastRenderedPageBreak/>
              <w:t>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w:t>
            </w:r>
            <w:r w:rsidRPr="00690859">
              <w:lastRenderedPageBreak/>
              <w:t xml:space="preserve">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lastRenderedPageBreak/>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w:t>
            </w:r>
            <w:r w:rsidRPr="0003744D">
              <w:lastRenderedPageBreak/>
              <w:t xml:space="preserve">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C9131F" w:rsidP="00A75A03">
            <w:pPr>
              <w:pStyle w:val="Default"/>
              <w:widowControl w:val="0"/>
              <w:ind w:right="175"/>
              <w:jc w:val="both"/>
              <w:rPr>
                <w:b/>
              </w:rPr>
            </w:pPr>
            <w:r>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w:t>
      </w:r>
      <w:r w:rsidRPr="00C56E06">
        <w:rPr>
          <w:i/>
        </w:rPr>
        <w:lastRenderedPageBreak/>
        <w:t>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xml:space="preserve">–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w:t>
      </w:r>
      <w:r w:rsidRPr="00A97593">
        <w:rPr>
          <w:highlight w:val="yellow"/>
        </w:rPr>
        <w:lastRenderedPageBreak/>
        <w:t>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25A" w:rsidRDefault="0044025A">
      <w:r>
        <w:separator/>
      </w:r>
    </w:p>
    <w:p w:rsidR="0044025A" w:rsidRDefault="0044025A"/>
  </w:endnote>
  <w:endnote w:type="continuationSeparator" w:id="0">
    <w:p w:rsidR="0044025A" w:rsidRDefault="0044025A">
      <w:r>
        <w:continuationSeparator/>
      </w:r>
    </w:p>
    <w:p w:rsidR="0044025A" w:rsidRDefault="0044025A"/>
  </w:endnote>
  <w:endnote w:type="continuationNotice" w:id="1">
    <w:p w:rsidR="0044025A" w:rsidRDefault="004402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902488" w:rsidRDefault="004C2C2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4C2C2C" w:rsidRPr="00401A97" w:rsidRDefault="004C2C2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9131F">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9131F">
              <w:rPr>
                <w:bCs/>
                <w:noProof/>
                <w:sz w:val="16"/>
                <w:szCs w:val="16"/>
              </w:rPr>
              <w:t>50</w:t>
            </w:r>
            <w:r w:rsidRPr="00401A97">
              <w:rPr>
                <w:bCs/>
                <w:sz w:val="16"/>
                <w:szCs w:val="16"/>
              </w:rPr>
              <w:fldChar w:fldCharType="end"/>
            </w:r>
          </w:p>
          <w:p w:rsidR="004C2C2C" w:rsidRPr="00A75A03" w:rsidRDefault="004C2C2C" w:rsidP="007E4F0F">
            <w:pPr>
              <w:pStyle w:val="afe"/>
              <w:jc w:val="center"/>
              <w:rPr>
                <w:bCs/>
                <w:sz w:val="16"/>
                <w:szCs w:val="16"/>
              </w:rPr>
            </w:pPr>
            <w:r w:rsidRPr="00A75A03">
              <w:rPr>
                <w:b/>
                <w:bCs/>
                <w:sz w:val="16"/>
                <w:szCs w:val="16"/>
              </w:rPr>
              <w:t>ЗАПРОС ПРЕДЛОЖЕНИЙ В ЭЛЕКТРОННОЙ ФОРМЕ</w:t>
            </w:r>
          </w:p>
          <w:p w:rsidR="004C2C2C" w:rsidRPr="00401A97" w:rsidRDefault="004C2C2C" w:rsidP="007E4F0F">
            <w:pPr>
              <w:spacing w:after="120"/>
              <w:jc w:val="center"/>
              <w:rPr>
                <w:sz w:val="16"/>
                <w:szCs w:val="16"/>
              </w:rPr>
            </w:pPr>
            <w:r w:rsidRPr="00A75A03">
              <w:rPr>
                <w:bCs/>
                <w:sz w:val="16"/>
                <w:szCs w:val="16"/>
              </w:rPr>
              <w:t xml:space="preserve"> на право заключения </w:t>
            </w:r>
            <w:r w:rsidRPr="00A75A03">
              <w:rPr>
                <w:sz w:val="16"/>
                <w:szCs w:val="16"/>
              </w:rPr>
              <w:t xml:space="preserve">Договора </w:t>
            </w:r>
            <w:r w:rsidRPr="00176B73">
              <w:rPr>
                <w:sz w:val="16"/>
                <w:szCs w:val="16"/>
              </w:rPr>
              <w:t xml:space="preserve">на </w:t>
            </w:r>
            <w:r w:rsidR="00C9131F">
              <w:rPr>
                <w:sz w:val="16"/>
                <w:szCs w:val="16"/>
              </w:rPr>
              <w:t>в</w:t>
            </w:r>
            <w:r w:rsidR="00C9131F" w:rsidRPr="00C9131F">
              <w:rPr>
                <w:sz w:val="16"/>
                <w:szCs w:val="16"/>
              </w:rPr>
              <w:t>ыполнение строительно-монтажных работ по реконструкции канализационной сети Ду=150мм. От производственного здания до сетевого колодца центральной канализации протяженностью 200 м., инвентарный №3002688, с восстановлением газонов и асфальтового покрытия 300 кв. м. в зоне эксплуатационной ответственности филиала ПАО "Россети Центр" - "Ярэнерго"</w:t>
            </w:r>
            <w:r w:rsidRPr="006E6FE5">
              <w:rPr>
                <w:sz w:val="16"/>
                <w:szCs w:val="16"/>
              </w:rPr>
              <w:t xml:space="preserve"> </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902488" w:rsidRDefault="004C2C2C"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902488" w:rsidRDefault="004C2C2C"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25A" w:rsidRDefault="0044025A">
      <w:r>
        <w:separator/>
      </w:r>
    </w:p>
    <w:p w:rsidR="0044025A" w:rsidRDefault="0044025A"/>
  </w:footnote>
  <w:footnote w:type="continuationSeparator" w:id="0">
    <w:p w:rsidR="0044025A" w:rsidRDefault="0044025A">
      <w:r>
        <w:continuationSeparator/>
      </w:r>
    </w:p>
    <w:p w:rsidR="0044025A" w:rsidRDefault="0044025A"/>
  </w:footnote>
  <w:footnote w:type="continuationNotice" w:id="1">
    <w:p w:rsidR="0044025A" w:rsidRDefault="0044025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401A97" w:rsidRDefault="004C2C2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401A97" w:rsidRDefault="004C2C2C"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401A97" w:rsidRDefault="004C2C2C"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2C" w:rsidRPr="003C47E7" w:rsidRDefault="004C2C2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4F81"/>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6DC"/>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1FA6"/>
    <w:rsid w:val="004325FA"/>
    <w:rsid w:val="00432BE2"/>
    <w:rsid w:val="00432C03"/>
    <w:rsid w:val="004334C0"/>
    <w:rsid w:val="00433683"/>
    <w:rsid w:val="00435406"/>
    <w:rsid w:val="004364BD"/>
    <w:rsid w:val="00436877"/>
    <w:rsid w:val="004377EF"/>
    <w:rsid w:val="00437D2C"/>
    <w:rsid w:val="0044025A"/>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C2C"/>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E6FE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31F"/>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4E48"/>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31F"/>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1F73"/>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B7D76"/>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C7FF8"/>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18B"/>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0873374">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54D71-0CF4-4D85-A91A-81034888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50</Pages>
  <Words>21396</Words>
  <Characters>121961</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32</cp:revision>
  <cp:lastPrinted>2019-01-16T10:14:00Z</cp:lastPrinted>
  <dcterms:created xsi:type="dcterms:W3CDTF">2021-07-06T17:53:00Z</dcterms:created>
  <dcterms:modified xsi:type="dcterms:W3CDTF">2022-08-04T08:36:00Z</dcterms:modified>
</cp:coreProperties>
</file>