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7B01EE33"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DA23AB">
        <w:rPr>
          <w:rFonts w:ascii="Times New Roman" w:hAnsi="Times New Roman" w:cs="Times New Roman"/>
          <w:b/>
        </w:rPr>
        <w:t>Кострома</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7C5246">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769D0BF4"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DA23AB">
        <w:rPr>
          <w:rFonts w:ascii="Times New Roman" w:hAnsi="Times New Roman" w:cs="Times New Roman"/>
          <w:color w:val="000000" w:themeColor="text1"/>
        </w:rPr>
        <w:t>» - «Кострома</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DA23AB">
        <w:rPr>
          <w:rFonts w:ascii="Times New Roman" w:hAnsi="Times New Roman" w:cs="Times New Roman"/>
        </w:rPr>
        <w:t>КМ</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7C5246">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70D8889C"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DA23AB">
        <w:rPr>
          <w:rFonts w:ascii="Times New Roman" w:hAnsi="Times New Roman" w:cs="Times New Roman"/>
          <w:color w:val="000000" w:themeColor="text1"/>
        </w:rPr>
        <w:t>» - «Кострома</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DA23AB">
        <w:rPr>
          <w:rFonts w:ascii="Times New Roman" w:hAnsi="Times New Roman" w:cs="Times New Roman"/>
        </w:rPr>
        <w:t>КМ</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7C5246">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038C9447"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DA23AB">
        <w:rPr>
          <w:rFonts w:ascii="Times New Roman" w:hAnsi="Times New Roman" w:cs="Times New Roman"/>
          <w:color w:val="000000" w:themeColor="text1"/>
        </w:rPr>
        <w:t>» - «Кострома</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DA23AB">
        <w:rPr>
          <w:rFonts w:ascii="Times New Roman" w:hAnsi="Times New Roman" w:cs="Times New Roman"/>
        </w:rPr>
        <w:t>КМ</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7C5246">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7F49EEEA"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7C5246">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DA23AB">
        <w:rPr>
          <w:rFonts w:ascii="Times New Roman" w:hAnsi="Times New Roman" w:cs="Times New Roman"/>
        </w:rPr>
        <w:t>Кострома</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7C5246">
        <w:rPr>
          <w:rFonts w:ascii="Times New Roman" w:hAnsi="Times New Roman" w:cs="Times New Roman"/>
        </w:rPr>
        <w:t>82 118</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2E95D097"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7C5246">
        <w:rPr>
          <w:rFonts w:ascii="Times New Roman" w:hAnsi="Times New Roman" w:cs="Times New Roman"/>
        </w:rPr>
        <w:t>66 518</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7C5246">
        <w:rPr>
          <w:rFonts w:ascii="Times New Roman" w:hAnsi="Times New Roman" w:cs="Times New Roman"/>
        </w:rPr>
        <w:t xml:space="preserve"> 81</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583040F6"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7C5246">
        <w:rPr>
          <w:rFonts w:ascii="Times New Roman" w:hAnsi="Times New Roman" w:cs="Times New Roman"/>
        </w:rPr>
        <w:t>Техническое обслуживание электросетевого хозяйства</w:t>
      </w:r>
      <w:r w:rsidR="00235F03" w:rsidRPr="003365EB">
        <w:rPr>
          <w:rFonts w:ascii="Times New Roman" w:hAnsi="Times New Roman" w:cs="Times New Roman"/>
        </w:rPr>
        <w:t xml:space="preserve">» </w:t>
      </w:r>
      <w:r w:rsidR="007C5246">
        <w:rPr>
          <w:rFonts w:ascii="Times New Roman" w:hAnsi="Times New Roman" w:cs="Times New Roman"/>
        </w:rPr>
        <w:t>505</w:t>
      </w:r>
      <w:r w:rsidR="006B26EB">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7C5246">
        <w:rPr>
          <w:rFonts w:ascii="Times New Roman" w:hAnsi="Times New Roman" w:cs="Times New Roman"/>
        </w:rPr>
        <w:t>0,6</w:t>
      </w:r>
      <w:r w:rsidR="003365EB" w:rsidRPr="003365EB">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618D6573"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(основная часть – </w:t>
      </w:r>
      <w:r w:rsidR="00AB2FDA">
        <w:rPr>
          <w:rFonts w:ascii="Times New Roman" w:hAnsi="Times New Roman" w:cs="Times New Roman"/>
        </w:rPr>
        <w:t>прочее</w:t>
      </w:r>
      <w:r w:rsidR="009838CF" w:rsidRPr="003365EB">
        <w:rPr>
          <w:rFonts w:ascii="Times New Roman" w:hAnsi="Times New Roman" w:cs="Times New Roman"/>
        </w:rPr>
        <w:t>)</w:t>
      </w:r>
      <w:r w:rsidRPr="003365EB">
        <w:rPr>
          <w:rFonts w:ascii="Times New Roman" w:hAnsi="Times New Roman" w:cs="Times New Roman"/>
        </w:rPr>
        <w:t xml:space="preserve"> </w:t>
      </w:r>
      <w:r w:rsidR="007C5246" w:rsidRPr="006831C0">
        <w:rPr>
          <w:rFonts w:ascii="Times New Roman" w:hAnsi="Times New Roman" w:cs="Times New Roman"/>
        </w:rPr>
        <w:t>8 873</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7C5246">
        <w:rPr>
          <w:rFonts w:ascii="Times New Roman" w:hAnsi="Times New Roman" w:cs="Times New Roman"/>
        </w:rPr>
        <w:t>11</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0C82E3B6"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082D5A">
        <w:rPr>
          <w:rFonts w:ascii="Times New Roman" w:hAnsi="Times New Roman" w:cs="Times New Roman"/>
          <w:iCs/>
        </w:rPr>
        <w:t>«Кострома</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2B00358E"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082D5A">
        <w:t>-«Кострома</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3CFD403F"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082D5A">
        <w:rPr>
          <w:rFonts w:ascii="Times New Roman" w:hAnsi="Times New Roman"/>
        </w:rPr>
        <w:t xml:space="preserve"> - «Кострома</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4BF5B231"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082D5A">
        <w:rPr>
          <w:rFonts w:ascii="Times New Roman" w:hAnsi="Times New Roman" w:cs="Times New Roman"/>
        </w:rPr>
        <w:t xml:space="preserve"> - «Кострома</w:t>
      </w:r>
      <w:r>
        <w:rPr>
          <w:rFonts w:ascii="Times New Roman" w:hAnsi="Times New Roman" w:cs="Times New Roman"/>
        </w:rPr>
        <w:t>энерго»</w:t>
      </w:r>
      <w:r w:rsidRPr="00F057BA">
        <w:rPr>
          <w:rFonts w:ascii="Times New Roman" w:hAnsi="Times New Roman" w:cs="Times New Roman"/>
        </w:rPr>
        <w:t xml:space="preserve"> было опрошено </w:t>
      </w:r>
      <w:r w:rsidR="007C5246">
        <w:rPr>
          <w:rFonts w:ascii="Times New Roman" w:hAnsi="Times New Roman" w:cs="Times New Roman"/>
        </w:rPr>
        <w:t>414</w:t>
      </w:r>
      <w:r>
        <w:rPr>
          <w:rFonts w:ascii="Times New Roman" w:hAnsi="Times New Roman" w:cs="Times New Roman"/>
        </w:rPr>
        <w:t xml:space="preserve"> потребителей</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4D5FF76C"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B27D5C">
        <w:rPr>
          <w:rFonts w:ascii="Times New Roman" w:hAnsi="Times New Roman" w:cs="Times New Roman"/>
        </w:rPr>
        <w:t>» - «Кострома</w:t>
      </w:r>
      <w:r>
        <w:rPr>
          <w:rFonts w:ascii="Times New Roman" w:hAnsi="Times New Roman" w:cs="Times New Roman"/>
        </w:rPr>
        <w:t xml:space="preserve">энерго» </w:t>
      </w:r>
      <w:r w:rsidRPr="00F057BA">
        <w:rPr>
          <w:rFonts w:ascii="Times New Roman" w:hAnsi="Times New Roman" w:cs="Times New Roman"/>
        </w:rPr>
        <w:t xml:space="preserve">в </w:t>
      </w:r>
      <w:r w:rsidR="007C5246">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r w:rsidR="007C5246">
        <w:rPr>
          <w:rFonts w:ascii="Times New Roman" w:hAnsi="Times New Roman" w:cs="Times New Roman"/>
        </w:rPr>
        <w:lastRenderedPageBreak/>
        <w:t>составила 4,70</w:t>
      </w:r>
      <w:r>
        <w:rPr>
          <w:rFonts w:ascii="Times New Roman" w:hAnsi="Times New Roman" w:cs="Times New Roman"/>
        </w:rPr>
        <w:t xml:space="preserve"> балла</w:t>
      </w:r>
      <w:r w:rsidRPr="00F057BA">
        <w:rPr>
          <w:rFonts w:ascii="Times New Roman" w:hAnsi="Times New Roman" w:cs="Times New Roman"/>
        </w:rPr>
        <w:t>.</w:t>
      </w:r>
    </w:p>
    <w:bookmarkEnd w:id="0"/>
    <w:p w14:paraId="10F0546D" w14:textId="77777777" w:rsidR="00475407" w:rsidRPr="00F057BA" w:rsidRDefault="00475407" w:rsidP="00A4027D">
      <w:pPr>
        <w:ind w:firstLine="709"/>
        <w:rPr>
          <w:rFonts w:ascii="Times New Roman" w:hAnsi="Times New Roman" w:cs="Times New Roman"/>
        </w:rPr>
      </w:pPr>
    </w:p>
    <w:p w14:paraId="6EE3A0C7" w14:textId="0121667A"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w:t>
      </w:r>
      <w:r w:rsidR="007C5246">
        <w:rPr>
          <w:rFonts w:ascii="Times New Roman" w:hAnsi="Times New Roman" w:cs="Times New Roman"/>
          <w:color w:val="000000" w:themeColor="text1"/>
        </w:rPr>
        <w:t>обслуживания 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58FB8B68" w14:textId="77777777" w:rsidR="00A66919" w:rsidRPr="00FC75B6" w:rsidRDefault="00A66919" w:rsidP="00A66919">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w:t>
      </w:r>
      <w:bookmarkStart w:id="4" w:name="_GoBack"/>
      <w:bookmarkEnd w:id="4"/>
      <w:r w:rsidRPr="00FC75B6">
        <w:rPr>
          <w:rFonts w:ascii="Times New Roman" w:hAnsi="Times New Roman" w:cs="Times New Roman"/>
        </w:rPr>
        <w:t>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45200493" w14:textId="6FC6136F" w:rsidR="00A66919" w:rsidRPr="008B77DA" w:rsidRDefault="00A66919" w:rsidP="00A66919">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Pr>
          <w:rFonts w:ascii="Times New Roman" w:hAnsi="Times New Roman" w:cs="Times New Roman"/>
        </w:rPr>
        <w:t>129</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785C558A" w14:textId="77777777" w:rsidR="00A66919" w:rsidRPr="008B77DA" w:rsidRDefault="00A66919" w:rsidP="00A66919">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094A7CAF" w14:textId="77777777" w:rsidR="00A66919" w:rsidRDefault="00A66919" w:rsidP="00A66919">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09357E" w:rsidRDefault="00A4027D" w:rsidP="0009357E">
      <w:pPr>
        <w:tabs>
          <w:tab w:val="left" w:pos="142"/>
          <w:tab w:val="left" w:pos="993"/>
        </w:tabs>
        <w:ind w:firstLine="709"/>
        <w:rPr>
          <w:rFonts w:ascii="Times New Roman" w:hAnsi="Times New Roman"/>
          <w:color w:val="000000" w:themeColor="text1"/>
        </w:rPr>
      </w:pPr>
    </w:p>
    <w:p w14:paraId="65B78703" w14:textId="062A37A8"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082D5A">
        <w:rPr>
          <w:rFonts w:ascii="Times New Roman" w:hAnsi="Times New Roman"/>
          <w:sz w:val="26"/>
          <w:szCs w:val="26"/>
        </w:rPr>
        <w:t>» - «Кострома</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082D5A">
        <w:rPr>
          <w:rFonts w:ascii="Times New Roman" w:hAnsi="Times New Roman"/>
          <w:sz w:val="26"/>
          <w:szCs w:val="26"/>
        </w:rPr>
        <w:t>КМ</w:t>
      </w:r>
      <w:r w:rsidR="007C5246">
        <w:rPr>
          <w:rFonts w:ascii="Times New Roman" w:hAnsi="Times New Roman"/>
          <w:sz w:val="26"/>
          <w:szCs w:val="26"/>
        </w:rPr>
        <w:t>_Раскрытие</w:t>
      </w:r>
      <w:proofErr w:type="spellEnd"/>
      <w:r w:rsidR="007C5246">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E477" w14:textId="77777777" w:rsidR="000F382F" w:rsidRDefault="000F382F" w:rsidP="007C5246">
      <w:r>
        <w:separator/>
      </w:r>
    </w:p>
  </w:endnote>
  <w:endnote w:type="continuationSeparator" w:id="0">
    <w:p w14:paraId="5273C655" w14:textId="77777777" w:rsidR="000F382F" w:rsidRDefault="000F382F" w:rsidP="007C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44F3" w14:textId="77777777" w:rsidR="000F382F" w:rsidRDefault="000F382F" w:rsidP="007C5246">
      <w:r>
        <w:separator/>
      </w:r>
    </w:p>
  </w:footnote>
  <w:footnote w:type="continuationSeparator" w:id="0">
    <w:p w14:paraId="4D1D8FD4" w14:textId="77777777" w:rsidR="000F382F" w:rsidRDefault="000F382F" w:rsidP="007C5246">
      <w:r>
        <w:continuationSeparator/>
      </w:r>
    </w:p>
  </w:footnote>
  <w:footnote w:id="1">
    <w:p w14:paraId="099DE845" w14:textId="77777777" w:rsidR="00A66919" w:rsidRDefault="00A66919" w:rsidP="00A66919">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30F5F"/>
    <w:rsid w:val="00080A15"/>
    <w:rsid w:val="00082D5A"/>
    <w:rsid w:val="0009357E"/>
    <w:rsid w:val="000C225D"/>
    <w:rsid w:val="000C35AA"/>
    <w:rsid w:val="000F1454"/>
    <w:rsid w:val="000F382F"/>
    <w:rsid w:val="00102C2C"/>
    <w:rsid w:val="001052D6"/>
    <w:rsid w:val="00151231"/>
    <w:rsid w:val="00180BA3"/>
    <w:rsid w:val="00186261"/>
    <w:rsid w:val="00194047"/>
    <w:rsid w:val="00197960"/>
    <w:rsid w:val="001B77A8"/>
    <w:rsid w:val="001C687C"/>
    <w:rsid w:val="001E7072"/>
    <w:rsid w:val="00216028"/>
    <w:rsid w:val="00235F03"/>
    <w:rsid w:val="00255634"/>
    <w:rsid w:val="00260ABD"/>
    <w:rsid w:val="00273604"/>
    <w:rsid w:val="002803C5"/>
    <w:rsid w:val="00283B71"/>
    <w:rsid w:val="002B63BD"/>
    <w:rsid w:val="00310A26"/>
    <w:rsid w:val="00330953"/>
    <w:rsid w:val="003365EB"/>
    <w:rsid w:val="003C2CC8"/>
    <w:rsid w:val="003D5AC1"/>
    <w:rsid w:val="003E5021"/>
    <w:rsid w:val="004054EC"/>
    <w:rsid w:val="00423112"/>
    <w:rsid w:val="00430F46"/>
    <w:rsid w:val="0044626A"/>
    <w:rsid w:val="00464B21"/>
    <w:rsid w:val="00475407"/>
    <w:rsid w:val="00477056"/>
    <w:rsid w:val="00485530"/>
    <w:rsid w:val="004B3D19"/>
    <w:rsid w:val="004C1C03"/>
    <w:rsid w:val="004C45DB"/>
    <w:rsid w:val="00506966"/>
    <w:rsid w:val="00516FA0"/>
    <w:rsid w:val="00524B45"/>
    <w:rsid w:val="00542BF5"/>
    <w:rsid w:val="00544796"/>
    <w:rsid w:val="00554102"/>
    <w:rsid w:val="00574EC8"/>
    <w:rsid w:val="0058204A"/>
    <w:rsid w:val="00583C43"/>
    <w:rsid w:val="005F5E06"/>
    <w:rsid w:val="00616375"/>
    <w:rsid w:val="00624D6D"/>
    <w:rsid w:val="006737A6"/>
    <w:rsid w:val="006831C0"/>
    <w:rsid w:val="006A0ACA"/>
    <w:rsid w:val="006B26EB"/>
    <w:rsid w:val="006D1B47"/>
    <w:rsid w:val="006D79A1"/>
    <w:rsid w:val="00710ABD"/>
    <w:rsid w:val="00731C38"/>
    <w:rsid w:val="00731FDA"/>
    <w:rsid w:val="007A29D7"/>
    <w:rsid w:val="007C5246"/>
    <w:rsid w:val="008054F2"/>
    <w:rsid w:val="00816C06"/>
    <w:rsid w:val="00825E32"/>
    <w:rsid w:val="00833968"/>
    <w:rsid w:val="00863464"/>
    <w:rsid w:val="00896F30"/>
    <w:rsid w:val="008C4C28"/>
    <w:rsid w:val="008F08D9"/>
    <w:rsid w:val="00932BD3"/>
    <w:rsid w:val="009838CF"/>
    <w:rsid w:val="00A06FF6"/>
    <w:rsid w:val="00A07EA5"/>
    <w:rsid w:val="00A4027D"/>
    <w:rsid w:val="00A66919"/>
    <w:rsid w:val="00A83D36"/>
    <w:rsid w:val="00AA5D10"/>
    <w:rsid w:val="00AB2FDA"/>
    <w:rsid w:val="00AB466A"/>
    <w:rsid w:val="00AD7571"/>
    <w:rsid w:val="00AF19C1"/>
    <w:rsid w:val="00B1574A"/>
    <w:rsid w:val="00B27D5C"/>
    <w:rsid w:val="00B306F1"/>
    <w:rsid w:val="00B529DD"/>
    <w:rsid w:val="00B52A6C"/>
    <w:rsid w:val="00B52BA8"/>
    <w:rsid w:val="00B60E18"/>
    <w:rsid w:val="00B84A94"/>
    <w:rsid w:val="00BB3B3B"/>
    <w:rsid w:val="00BF5F1B"/>
    <w:rsid w:val="00C077C8"/>
    <w:rsid w:val="00C10E79"/>
    <w:rsid w:val="00C303F9"/>
    <w:rsid w:val="00C41747"/>
    <w:rsid w:val="00C524A7"/>
    <w:rsid w:val="00CA0998"/>
    <w:rsid w:val="00D26EDC"/>
    <w:rsid w:val="00D74B29"/>
    <w:rsid w:val="00DA23AB"/>
    <w:rsid w:val="00DC1EA4"/>
    <w:rsid w:val="00DC4F1F"/>
    <w:rsid w:val="00E1050C"/>
    <w:rsid w:val="00E41E2F"/>
    <w:rsid w:val="00E62DB1"/>
    <w:rsid w:val="00E65031"/>
    <w:rsid w:val="00E66D8E"/>
    <w:rsid w:val="00E7575C"/>
    <w:rsid w:val="00E8741E"/>
    <w:rsid w:val="00E875D7"/>
    <w:rsid w:val="00EA13FB"/>
    <w:rsid w:val="00EA23CC"/>
    <w:rsid w:val="00EB3735"/>
    <w:rsid w:val="00F057BA"/>
    <w:rsid w:val="00F15FF5"/>
    <w:rsid w:val="00F26C74"/>
    <w:rsid w:val="00F43764"/>
    <w:rsid w:val="00F537CE"/>
    <w:rsid w:val="00F75CFA"/>
    <w:rsid w:val="00F82634"/>
    <w:rsid w:val="00FB62C8"/>
    <w:rsid w:val="00FD6A8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7C5246"/>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7C5246"/>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7C5246"/>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7C52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AF8F-72A0-4F60-8917-823F888D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5</cp:revision>
  <dcterms:created xsi:type="dcterms:W3CDTF">2026-03-05T08:34:00Z</dcterms:created>
  <dcterms:modified xsi:type="dcterms:W3CDTF">2026-03-30T13:19:00Z</dcterms:modified>
</cp:coreProperties>
</file>