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A7" w:rsidRPr="00D35197" w:rsidRDefault="00B770A7" w:rsidP="00B770A7">
      <w:pPr>
        <w:pStyle w:val="1"/>
        <w:tabs>
          <w:tab w:val="left" w:pos="0"/>
        </w:tabs>
        <w:spacing w:before="240"/>
        <w:jc w:val="both"/>
        <w:rPr>
          <w:b w:val="0"/>
          <w:bCs w:val="0"/>
          <w:sz w:val="26"/>
          <w:szCs w:val="26"/>
        </w:rPr>
      </w:pPr>
      <w:bookmarkStart w:id="0" w:name="_Toc5444843"/>
      <w:r w:rsidRPr="00D35197">
        <w:rPr>
          <w:rFonts w:ascii="Times New Roman" w:hAnsi="Times New Roman"/>
          <w:color w:val="auto"/>
          <w:sz w:val="26"/>
          <w:szCs w:val="26"/>
        </w:rPr>
        <w:t>Паспорт услуги (процесса) «Расчет объема переданной электрической энергии потребителю»</w:t>
      </w:r>
      <w:bookmarkEnd w:id="0"/>
    </w:p>
    <w:p w:rsidR="00B770A7" w:rsidRPr="00FB79C1" w:rsidRDefault="00B770A7" w:rsidP="00B770A7">
      <w:pPr>
        <w:spacing w:before="120"/>
        <w:ind w:firstLine="567"/>
        <w:jc w:val="both"/>
        <w:rPr>
          <w:sz w:val="26"/>
          <w:szCs w:val="26"/>
        </w:rPr>
      </w:pPr>
      <w:r w:rsidRPr="00FB79C1">
        <w:rPr>
          <w:b/>
          <w:sz w:val="26"/>
          <w:szCs w:val="26"/>
        </w:rPr>
        <w:t>Круг заявителей (потребителей):</w:t>
      </w:r>
      <w:r w:rsidRPr="00FB79C1">
        <w:rPr>
          <w:b/>
          <w:color w:val="548DD4"/>
          <w:sz w:val="26"/>
          <w:szCs w:val="26"/>
        </w:rPr>
        <w:t xml:space="preserve"> </w:t>
      </w:r>
      <w:r w:rsidRPr="00FB79C1">
        <w:rPr>
          <w:sz w:val="26"/>
          <w:szCs w:val="26"/>
        </w:rPr>
        <w:t>юридические и физические лица, индивидуальные предприниматели.</w:t>
      </w:r>
    </w:p>
    <w:p w:rsidR="00B770A7" w:rsidRPr="00FB79C1" w:rsidRDefault="00B770A7" w:rsidP="00B770A7">
      <w:pPr>
        <w:pStyle w:val="ConsPlusNonformat"/>
        <w:spacing w:before="120"/>
        <w:ind w:firstLine="567"/>
        <w:jc w:val="both"/>
        <w:rPr>
          <w:rFonts w:ascii="Times New Roman" w:hAnsi="Times New Roman" w:cs="Times New Roman"/>
          <w:sz w:val="26"/>
          <w:szCs w:val="26"/>
        </w:rPr>
      </w:pPr>
      <w:r w:rsidRPr="00FB79C1">
        <w:rPr>
          <w:rFonts w:ascii="Times New Roman" w:hAnsi="Times New Roman" w:cs="Times New Roman"/>
          <w:b/>
          <w:sz w:val="26"/>
          <w:szCs w:val="26"/>
        </w:rPr>
        <w:t xml:space="preserve">Размер платы за предоставление услуги (процесса) и основание ее взимания: </w:t>
      </w:r>
      <w:r w:rsidRPr="00FB79C1">
        <w:rPr>
          <w:rFonts w:ascii="Times New Roman" w:hAnsi="Times New Roman" w:cs="Times New Roman"/>
          <w:sz w:val="26"/>
          <w:szCs w:val="26"/>
        </w:rPr>
        <w:t>плата не предусмотрена и не взимается.</w:t>
      </w:r>
    </w:p>
    <w:p w:rsidR="00B770A7" w:rsidRPr="00FB79C1" w:rsidRDefault="00B770A7" w:rsidP="00B770A7">
      <w:pPr>
        <w:autoSpaceDE w:val="0"/>
        <w:autoSpaceDN w:val="0"/>
        <w:adjustRightInd w:val="0"/>
        <w:spacing w:before="120"/>
        <w:ind w:firstLine="567"/>
        <w:jc w:val="both"/>
        <w:rPr>
          <w:sz w:val="26"/>
          <w:szCs w:val="26"/>
        </w:rPr>
      </w:pPr>
      <w:r w:rsidRPr="00FB79C1">
        <w:rPr>
          <w:b/>
          <w:sz w:val="26"/>
          <w:szCs w:val="26"/>
        </w:rPr>
        <w:t>Условия оказания услуги (процесса):</w:t>
      </w:r>
      <w:r w:rsidRPr="00FB79C1">
        <w:rPr>
          <w:sz w:val="26"/>
          <w:szCs w:val="26"/>
        </w:rPr>
        <w:t xml:space="preserve"> наличие заключенного с </w:t>
      </w:r>
      <w:r w:rsidRPr="00F06E0D">
        <w:rPr>
          <w:sz w:val="26"/>
          <w:szCs w:val="26"/>
        </w:rPr>
        <w:t>ПАО «</w:t>
      </w:r>
      <w:r w:rsidRPr="00C0441B">
        <w:rPr>
          <w:sz w:val="26"/>
          <w:szCs w:val="26"/>
        </w:rPr>
        <w:t>Россети</w:t>
      </w:r>
      <w:r w:rsidRPr="00F06E0D">
        <w:rPr>
          <w:sz w:val="26"/>
          <w:szCs w:val="26"/>
        </w:rPr>
        <w:t xml:space="preserve"> Центр» </w:t>
      </w:r>
      <w:r w:rsidRPr="001B038B">
        <w:rPr>
          <w:sz w:val="26"/>
          <w:szCs w:val="26"/>
        </w:rPr>
        <w:t>договора</w:t>
      </w:r>
      <w:r w:rsidRPr="00FB79C1">
        <w:rPr>
          <w:sz w:val="26"/>
          <w:szCs w:val="26"/>
        </w:rPr>
        <w:t xml:space="preserve"> оказания услуг по передаче электрической энергии, процесс осуществляется в рамках оказания услуг по передаче электрической энергии.</w:t>
      </w:r>
    </w:p>
    <w:p w:rsidR="00B770A7" w:rsidRPr="00FB79C1" w:rsidRDefault="00B770A7" w:rsidP="00B770A7">
      <w:pPr>
        <w:autoSpaceDE w:val="0"/>
        <w:autoSpaceDN w:val="0"/>
        <w:adjustRightInd w:val="0"/>
        <w:spacing w:before="120"/>
        <w:ind w:firstLine="567"/>
        <w:jc w:val="both"/>
        <w:rPr>
          <w:sz w:val="26"/>
          <w:szCs w:val="26"/>
        </w:rPr>
      </w:pPr>
      <w:r w:rsidRPr="00FB79C1">
        <w:rPr>
          <w:b/>
          <w:sz w:val="26"/>
          <w:szCs w:val="26"/>
        </w:rPr>
        <w:t xml:space="preserve">Результат оказания услуги (процесса): </w:t>
      </w:r>
      <w:r w:rsidRPr="00FB79C1">
        <w:rPr>
          <w:sz w:val="26"/>
          <w:szCs w:val="26"/>
        </w:rPr>
        <w:t>расчет объема переданной электрической энергии потребителю.</w:t>
      </w:r>
    </w:p>
    <w:p w:rsidR="00B770A7" w:rsidRPr="00FB79C1" w:rsidRDefault="00B770A7" w:rsidP="00B770A7">
      <w:pPr>
        <w:spacing w:before="120"/>
        <w:ind w:firstLine="567"/>
        <w:jc w:val="both"/>
        <w:outlineLvl w:val="0"/>
        <w:rPr>
          <w:b/>
          <w:sz w:val="26"/>
          <w:szCs w:val="26"/>
        </w:rPr>
      </w:pPr>
      <w:r w:rsidRPr="00FB79C1">
        <w:rPr>
          <w:b/>
          <w:sz w:val="26"/>
          <w:szCs w:val="26"/>
        </w:rPr>
        <w:t>Состав, последовательность и сроки оказания услуги (процесса):</w:t>
      </w:r>
    </w:p>
    <w:tbl>
      <w:tblPr>
        <w:tblW w:w="4923"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71"/>
        <w:gridCol w:w="1839"/>
        <w:gridCol w:w="2610"/>
        <w:gridCol w:w="2659"/>
        <w:gridCol w:w="1925"/>
        <w:gridCol w:w="2447"/>
        <w:gridCol w:w="2275"/>
      </w:tblGrid>
      <w:tr w:rsidR="00B770A7" w:rsidRPr="007F2723" w:rsidTr="00451CA2">
        <w:trPr>
          <w:tblHeader/>
        </w:trPr>
        <w:tc>
          <w:tcPr>
            <w:tcW w:w="199" w:type="pct"/>
            <w:shd w:val="clear" w:color="auto" w:fill="auto"/>
          </w:tcPr>
          <w:p w:rsidR="00B770A7" w:rsidRPr="007F2723" w:rsidRDefault="00B770A7" w:rsidP="00451CA2">
            <w:pPr>
              <w:jc w:val="center"/>
              <w:rPr>
                <w:b/>
                <w:bCs/>
              </w:rPr>
            </w:pPr>
            <w:r w:rsidRPr="007F2723">
              <w:rPr>
                <w:b/>
                <w:bCs/>
                <w:sz w:val="22"/>
                <w:szCs w:val="22"/>
              </w:rPr>
              <w:t>№</w:t>
            </w:r>
          </w:p>
        </w:tc>
        <w:tc>
          <w:tcPr>
            <w:tcW w:w="642" w:type="pct"/>
            <w:shd w:val="clear" w:color="auto" w:fill="auto"/>
          </w:tcPr>
          <w:p w:rsidR="00B770A7" w:rsidRPr="007F2723" w:rsidRDefault="00B770A7" w:rsidP="00451CA2">
            <w:pPr>
              <w:jc w:val="center"/>
              <w:rPr>
                <w:b/>
                <w:bCs/>
              </w:rPr>
            </w:pPr>
            <w:r w:rsidRPr="007F2723">
              <w:rPr>
                <w:b/>
                <w:bCs/>
                <w:sz w:val="22"/>
                <w:szCs w:val="22"/>
              </w:rPr>
              <w:t>Этап</w:t>
            </w:r>
          </w:p>
        </w:tc>
        <w:tc>
          <w:tcPr>
            <w:tcW w:w="911" w:type="pct"/>
            <w:shd w:val="clear" w:color="auto" w:fill="auto"/>
          </w:tcPr>
          <w:p w:rsidR="00B770A7" w:rsidRPr="007F2723" w:rsidRDefault="00B770A7" w:rsidP="00451CA2">
            <w:pPr>
              <w:jc w:val="center"/>
              <w:rPr>
                <w:b/>
                <w:bCs/>
              </w:rPr>
            </w:pPr>
            <w:r w:rsidRPr="007F2723">
              <w:rPr>
                <w:b/>
                <w:bCs/>
                <w:sz w:val="22"/>
                <w:szCs w:val="22"/>
              </w:rPr>
              <w:t>Условие этапа</w:t>
            </w:r>
          </w:p>
        </w:tc>
        <w:tc>
          <w:tcPr>
            <w:tcW w:w="928" w:type="pct"/>
            <w:shd w:val="clear" w:color="auto" w:fill="auto"/>
          </w:tcPr>
          <w:p w:rsidR="00B770A7" w:rsidRPr="007F2723" w:rsidRDefault="00B770A7" w:rsidP="00451CA2">
            <w:pPr>
              <w:jc w:val="center"/>
              <w:rPr>
                <w:b/>
                <w:bCs/>
              </w:rPr>
            </w:pPr>
            <w:r w:rsidRPr="007F2723">
              <w:rPr>
                <w:b/>
                <w:bCs/>
                <w:sz w:val="22"/>
                <w:szCs w:val="22"/>
              </w:rPr>
              <w:t>Содержание</w:t>
            </w:r>
          </w:p>
        </w:tc>
        <w:tc>
          <w:tcPr>
            <w:tcW w:w="672" w:type="pct"/>
            <w:shd w:val="clear" w:color="auto" w:fill="auto"/>
          </w:tcPr>
          <w:p w:rsidR="00B770A7" w:rsidRPr="007F2723" w:rsidRDefault="00B770A7" w:rsidP="00451CA2">
            <w:pPr>
              <w:jc w:val="center"/>
              <w:rPr>
                <w:b/>
                <w:bCs/>
              </w:rPr>
            </w:pPr>
            <w:r w:rsidRPr="007F2723">
              <w:rPr>
                <w:b/>
                <w:bCs/>
                <w:sz w:val="22"/>
                <w:szCs w:val="22"/>
              </w:rPr>
              <w:t>Форма предоставления</w:t>
            </w:r>
          </w:p>
        </w:tc>
        <w:tc>
          <w:tcPr>
            <w:tcW w:w="854" w:type="pct"/>
            <w:shd w:val="clear" w:color="auto" w:fill="auto"/>
          </w:tcPr>
          <w:p w:rsidR="00B770A7" w:rsidRPr="007F2723" w:rsidRDefault="00B770A7" w:rsidP="00451CA2">
            <w:pPr>
              <w:jc w:val="center"/>
              <w:rPr>
                <w:b/>
                <w:bCs/>
              </w:rPr>
            </w:pPr>
            <w:r w:rsidRPr="007F2723">
              <w:rPr>
                <w:b/>
                <w:bCs/>
                <w:sz w:val="22"/>
                <w:szCs w:val="22"/>
              </w:rPr>
              <w:t>Срок исполнения</w:t>
            </w:r>
          </w:p>
        </w:tc>
        <w:tc>
          <w:tcPr>
            <w:tcW w:w="794" w:type="pct"/>
            <w:shd w:val="clear" w:color="auto" w:fill="auto"/>
          </w:tcPr>
          <w:p w:rsidR="00B770A7" w:rsidRPr="007F2723" w:rsidRDefault="00B770A7" w:rsidP="00451CA2">
            <w:pPr>
              <w:jc w:val="center"/>
              <w:rPr>
                <w:b/>
                <w:bCs/>
              </w:rPr>
            </w:pPr>
            <w:r w:rsidRPr="007F2723">
              <w:rPr>
                <w:b/>
                <w:bCs/>
                <w:sz w:val="22"/>
                <w:szCs w:val="22"/>
              </w:rPr>
              <w:t>Ссылка на нормативно правовой акт</w:t>
            </w:r>
          </w:p>
        </w:tc>
      </w:tr>
      <w:tr w:rsidR="00B770A7" w:rsidRPr="00FB79C1" w:rsidTr="00451CA2">
        <w:tc>
          <w:tcPr>
            <w:tcW w:w="199" w:type="pct"/>
            <w:shd w:val="clear" w:color="auto" w:fill="auto"/>
          </w:tcPr>
          <w:p w:rsidR="00B770A7" w:rsidRPr="007F2723" w:rsidRDefault="00B770A7" w:rsidP="00451CA2">
            <w:pPr>
              <w:jc w:val="both"/>
              <w:rPr>
                <w:b/>
                <w:bCs/>
              </w:rPr>
            </w:pPr>
            <w:r w:rsidRPr="007F2723">
              <w:rPr>
                <w:b/>
                <w:bCs/>
                <w:sz w:val="22"/>
                <w:szCs w:val="22"/>
              </w:rPr>
              <w:t>1</w:t>
            </w:r>
          </w:p>
        </w:tc>
        <w:tc>
          <w:tcPr>
            <w:tcW w:w="642" w:type="pct"/>
            <w:shd w:val="clear" w:color="auto" w:fill="auto"/>
          </w:tcPr>
          <w:p w:rsidR="00B770A7" w:rsidRPr="007F2723" w:rsidRDefault="00B770A7" w:rsidP="00451CA2">
            <w:pPr>
              <w:jc w:val="both"/>
            </w:pPr>
            <w:r w:rsidRPr="007F2723">
              <w:rPr>
                <w:sz w:val="22"/>
                <w:szCs w:val="22"/>
              </w:rPr>
              <w:t>Снятие показаний приборов учета электрической энергии потребителем</w:t>
            </w:r>
          </w:p>
          <w:p w:rsidR="00B770A7" w:rsidRPr="007F2723" w:rsidRDefault="00B770A7" w:rsidP="00451CA2">
            <w:pPr>
              <w:autoSpaceDE w:val="0"/>
            </w:pPr>
          </w:p>
        </w:tc>
        <w:tc>
          <w:tcPr>
            <w:tcW w:w="911" w:type="pct"/>
            <w:shd w:val="clear" w:color="auto" w:fill="auto"/>
          </w:tcPr>
          <w:p w:rsidR="00B770A7" w:rsidRPr="00DE0E0E" w:rsidRDefault="00B770A7" w:rsidP="00451CA2">
            <w:pPr>
              <w:autoSpaceDE w:val="0"/>
              <w:snapToGrid w:val="0"/>
              <w:rPr>
                <w:sz w:val="22"/>
                <w:szCs w:val="22"/>
              </w:rPr>
            </w:pPr>
            <w:r w:rsidRPr="007F2723">
              <w:rPr>
                <w:sz w:val="22"/>
                <w:szCs w:val="22"/>
              </w:rPr>
              <w:t xml:space="preserve">Наличие заключенного с </w:t>
            </w:r>
            <w:r>
              <w:rPr>
                <w:sz w:val="22"/>
                <w:szCs w:val="22"/>
              </w:rPr>
              <w:t>ПАО «</w:t>
            </w:r>
            <w:r w:rsidRPr="00DE0E0E">
              <w:rPr>
                <w:sz w:val="22"/>
                <w:szCs w:val="22"/>
              </w:rPr>
              <w:t>Россети</w:t>
            </w:r>
            <w:r>
              <w:rPr>
                <w:sz w:val="22"/>
                <w:szCs w:val="22"/>
              </w:rPr>
              <w:t xml:space="preserve"> Центр» </w:t>
            </w:r>
            <w:r w:rsidRPr="007F2723">
              <w:rPr>
                <w:sz w:val="22"/>
                <w:szCs w:val="22"/>
              </w:rPr>
              <w:t>договора оказания услуг по передаче электрической энергии</w:t>
            </w:r>
          </w:p>
        </w:tc>
        <w:tc>
          <w:tcPr>
            <w:tcW w:w="928" w:type="pct"/>
            <w:shd w:val="clear" w:color="auto" w:fill="auto"/>
          </w:tcPr>
          <w:p w:rsidR="00B770A7" w:rsidRPr="007F2723" w:rsidRDefault="00B770A7" w:rsidP="00451CA2">
            <w:pPr>
              <w:autoSpaceDE w:val="0"/>
              <w:snapToGrid w:val="0"/>
            </w:pPr>
            <w:r w:rsidRPr="007F2723">
              <w:rPr>
                <w:sz w:val="22"/>
                <w:szCs w:val="22"/>
              </w:rPr>
              <w:t>Осуществляется потребителем электрической энергии самостоятельно</w:t>
            </w:r>
          </w:p>
        </w:tc>
        <w:tc>
          <w:tcPr>
            <w:tcW w:w="672" w:type="pct"/>
            <w:shd w:val="clear" w:color="auto" w:fill="auto"/>
          </w:tcPr>
          <w:p w:rsidR="00B770A7" w:rsidRPr="007F2723" w:rsidRDefault="00B770A7" w:rsidP="00451CA2">
            <w:pPr>
              <w:autoSpaceDE w:val="0"/>
              <w:snapToGrid w:val="0"/>
            </w:pPr>
            <w:r w:rsidRPr="007F2723">
              <w:rPr>
                <w:sz w:val="22"/>
                <w:szCs w:val="22"/>
              </w:rPr>
              <w:t>Визуально (очно)</w:t>
            </w:r>
          </w:p>
        </w:tc>
        <w:tc>
          <w:tcPr>
            <w:tcW w:w="854" w:type="pct"/>
            <w:shd w:val="clear" w:color="auto" w:fill="auto"/>
          </w:tcPr>
          <w:p w:rsidR="00B770A7" w:rsidRPr="007F2723" w:rsidRDefault="00B770A7" w:rsidP="00451CA2">
            <w:pPr>
              <w:autoSpaceDE w:val="0"/>
              <w:snapToGrid w:val="0"/>
            </w:pPr>
            <w:r w:rsidRPr="007F2723">
              <w:rPr>
                <w:sz w:val="22"/>
                <w:szCs w:val="22"/>
              </w:rPr>
              <w:t xml:space="preserve">00 часов 00 минут 1-го дня </w:t>
            </w:r>
            <w:proofErr w:type="gramStart"/>
            <w:r w:rsidRPr="007F2723">
              <w:rPr>
                <w:sz w:val="22"/>
                <w:szCs w:val="22"/>
              </w:rPr>
              <w:t>месяца</w:t>
            </w:r>
            <w:proofErr w:type="gramEnd"/>
            <w:r w:rsidRPr="007F2723">
              <w:rPr>
                <w:sz w:val="22"/>
                <w:szCs w:val="22"/>
              </w:rPr>
              <w:t xml:space="preserve"> следующего за расчетным - для всех потребителей, за исключением исполнителей коммунальных услуг. </w:t>
            </w:r>
          </w:p>
          <w:p w:rsidR="00B770A7" w:rsidRPr="007F2723" w:rsidRDefault="00B770A7" w:rsidP="00451CA2">
            <w:pPr>
              <w:autoSpaceDE w:val="0"/>
              <w:snapToGrid w:val="0"/>
            </w:pPr>
          </w:p>
          <w:p w:rsidR="00B770A7" w:rsidRPr="007F2723" w:rsidRDefault="00B770A7" w:rsidP="00451CA2">
            <w:pPr>
              <w:autoSpaceDE w:val="0"/>
              <w:snapToGrid w:val="0"/>
            </w:pPr>
            <w:r w:rsidRPr="007F2723">
              <w:rPr>
                <w:sz w:val="22"/>
                <w:szCs w:val="22"/>
              </w:rPr>
              <w:t>с 23 по 25 число расчетного месяца - для исполнителей коммунальных услуг</w:t>
            </w:r>
          </w:p>
        </w:tc>
        <w:tc>
          <w:tcPr>
            <w:tcW w:w="794" w:type="pct"/>
            <w:shd w:val="clear" w:color="auto" w:fill="auto"/>
          </w:tcPr>
          <w:p w:rsidR="00B770A7" w:rsidRPr="007F2723" w:rsidRDefault="00B770A7" w:rsidP="00451CA2">
            <w:pPr>
              <w:autoSpaceDE w:val="0"/>
              <w:snapToGrid w:val="0"/>
            </w:pPr>
            <w:r w:rsidRPr="007F2723">
              <w:rPr>
                <w:sz w:val="22"/>
                <w:szCs w:val="22"/>
              </w:rPr>
              <w:t xml:space="preserve">Пункт </w:t>
            </w:r>
            <w:r>
              <w:rPr>
                <w:sz w:val="22"/>
                <w:szCs w:val="22"/>
              </w:rPr>
              <w:t>157</w:t>
            </w:r>
            <w:r w:rsidRPr="007F2723">
              <w:rPr>
                <w:sz w:val="22"/>
                <w:szCs w:val="22"/>
              </w:rPr>
              <w:t xml:space="preserve"> </w:t>
            </w:r>
            <w:r>
              <w:rPr>
                <w:sz w:val="22"/>
                <w:szCs w:val="22"/>
              </w:rPr>
              <w:t>Основных положений функционирования розничных рынков электрической энергии</w:t>
            </w:r>
            <w:r w:rsidRPr="007F2723">
              <w:rPr>
                <w:rStyle w:val="a7"/>
                <w:sz w:val="22"/>
                <w:szCs w:val="22"/>
              </w:rPr>
              <w:footnoteReference w:id="1"/>
            </w:r>
          </w:p>
          <w:p w:rsidR="00B770A7" w:rsidRDefault="00B770A7" w:rsidP="00451CA2">
            <w:pPr>
              <w:autoSpaceDE w:val="0"/>
              <w:snapToGrid w:val="0"/>
              <w:rPr>
                <w:sz w:val="22"/>
                <w:szCs w:val="22"/>
              </w:rPr>
            </w:pPr>
          </w:p>
          <w:p w:rsidR="00B770A7" w:rsidRDefault="00B770A7" w:rsidP="00451CA2">
            <w:pPr>
              <w:autoSpaceDE w:val="0"/>
              <w:snapToGrid w:val="0"/>
              <w:rPr>
                <w:sz w:val="22"/>
                <w:szCs w:val="22"/>
              </w:rPr>
            </w:pPr>
          </w:p>
          <w:p w:rsidR="00B770A7" w:rsidRPr="007F2723" w:rsidRDefault="00B770A7" w:rsidP="00451CA2">
            <w:pPr>
              <w:autoSpaceDE w:val="0"/>
              <w:snapToGrid w:val="0"/>
            </w:pPr>
            <w:r w:rsidRPr="007F2723">
              <w:rPr>
                <w:sz w:val="22"/>
                <w:szCs w:val="22"/>
              </w:rPr>
              <w:t>Пункт 31(е)  Правил предоставления коммунальных услуг</w:t>
            </w:r>
            <w:r w:rsidRPr="007F2723">
              <w:rPr>
                <w:rStyle w:val="a7"/>
                <w:sz w:val="22"/>
                <w:szCs w:val="22"/>
              </w:rPr>
              <w:footnoteReference w:id="2"/>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2</w:t>
            </w:r>
          </w:p>
        </w:tc>
        <w:tc>
          <w:tcPr>
            <w:tcW w:w="642" w:type="pct"/>
            <w:shd w:val="clear" w:color="auto" w:fill="auto"/>
          </w:tcPr>
          <w:p w:rsidR="00B770A7" w:rsidRPr="007F2723" w:rsidRDefault="00B770A7" w:rsidP="00451CA2">
            <w:pPr>
              <w:jc w:val="both"/>
            </w:pPr>
            <w:r w:rsidRPr="007F2723">
              <w:rPr>
                <w:sz w:val="22"/>
                <w:szCs w:val="22"/>
              </w:rPr>
              <w:t xml:space="preserve">Прием показаний расчетных приборов учета от потребителя, в том числе используемых в качестве расчетных </w:t>
            </w:r>
            <w:r w:rsidRPr="007F2723">
              <w:rPr>
                <w:sz w:val="22"/>
                <w:szCs w:val="22"/>
              </w:rPr>
              <w:lastRenderedPageBreak/>
              <w:t>контрольных приборов учета</w:t>
            </w:r>
          </w:p>
        </w:tc>
        <w:tc>
          <w:tcPr>
            <w:tcW w:w="911" w:type="pct"/>
            <w:shd w:val="clear" w:color="auto" w:fill="auto"/>
          </w:tcPr>
          <w:p w:rsidR="00B770A7" w:rsidRPr="00DE0E0E" w:rsidRDefault="00B770A7" w:rsidP="00451CA2">
            <w:pPr>
              <w:jc w:val="both"/>
              <w:rPr>
                <w:sz w:val="22"/>
                <w:szCs w:val="22"/>
              </w:rPr>
            </w:pPr>
            <w:r w:rsidRPr="007F2723">
              <w:rPr>
                <w:sz w:val="22"/>
                <w:szCs w:val="22"/>
              </w:rPr>
              <w:lastRenderedPageBreak/>
              <w:t xml:space="preserve">Наличие заключенного с </w:t>
            </w:r>
            <w:r>
              <w:rPr>
                <w:sz w:val="22"/>
                <w:szCs w:val="22"/>
              </w:rPr>
              <w:t>ПАО «</w:t>
            </w:r>
            <w:r w:rsidRPr="00DE0E0E">
              <w:rPr>
                <w:sz w:val="22"/>
                <w:szCs w:val="22"/>
              </w:rPr>
              <w:t>Россети</w:t>
            </w:r>
            <w:r>
              <w:rPr>
                <w:sz w:val="22"/>
                <w:szCs w:val="22"/>
              </w:rPr>
              <w:t xml:space="preserve"> Центр» </w:t>
            </w:r>
            <w:r w:rsidRPr="007F2723">
              <w:rPr>
                <w:sz w:val="22"/>
                <w:szCs w:val="22"/>
              </w:rPr>
              <w:t>договора оказания услуг по передаче электрической энергии</w:t>
            </w:r>
          </w:p>
        </w:tc>
        <w:tc>
          <w:tcPr>
            <w:tcW w:w="928" w:type="pct"/>
            <w:shd w:val="clear" w:color="auto" w:fill="auto"/>
          </w:tcPr>
          <w:p w:rsidR="00B770A7" w:rsidRPr="007F2723" w:rsidRDefault="00B770A7" w:rsidP="00451CA2">
            <w:pPr>
              <w:jc w:val="both"/>
            </w:pPr>
            <w:r w:rsidRPr="007F2723">
              <w:rPr>
                <w:sz w:val="22"/>
                <w:szCs w:val="22"/>
              </w:rPr>
              <w:t>Прием показаний расчетных приборов учета от потребителя, в том числе используемых в качестве расчетных контрольных приборов учета</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Письменное уведомление заказным письмом, с использованием телефонной связи, электронной почты или иным </w:t>
            </w:r>
            <w:r w:rsidRPr="007F2723">
              <w:rPr>
                <w:sz w:val="22"/>
                <w:szCs w:val="22"/>
              </w:rPr>
              <w:lastRenderedPageBreak/>
              <w:t>способом, позволяющим подтвердить факт получения</w:t>
            </w:r>
          </w:p>
          <w:p w:rsidR="00B770A7" w:rsidRPr="007F2723" w:rsidRDefault="00B770A7" w:rsidP="00451CA2">
            <w:pPr>
              <w:autoSpaceDE w:val="0"/>
              <w:autoSpaceDN w:val="0"/>
              <w:adjustRightInd w:val="0"/>
              <w:jc w:val="both"/>
            </w:pP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В соответствии с договором оказания услуг по передаче электрической энергии.</w:t>
            </w:r>
          </w:p>
          <w:p w:rsidR="00B770A7" w:rsidRPr="007F2723" w:rsidRDefault="00B770A7" w:rsidP="00451CA2">
            <w:pPr>
              <w:autoSpaceDE w:val="0"/>
              <w:autoSpaceDN w:val="0"/>
              <w:adjustRightInd w:val="0"/>
              <w:ind w:firstLine="540"/>
              <w:jc w:val="both"/>
            </w:pPr>
          </w:p>
          <w:p w:rsidR="00B770A7" w:rsidRDefault="00B770A7" w:rsidP="00451CA2">
            <w:pPr>
              <w:jc w:val="both"/>
            </w:pPr>
            <w:r w:rsidRPr="007F2723">
              <w:rPr>
                <w:sz w:val="22"/>
                <w:szCs w:val="22"/>
              </w:rPr>
              <w:t xml:space="preserve">Если время и дата снятия показаний расчетных приборов учета не установлены </w:t>
            </w:r>
            <w:r w:rsidRPr="007F2723">
              <w:rPr>
                <w:sz w:val="22"/>
                <w:szCs w:val="22"/>
              </w:rPr>
              <w:lastRenderedPageBreak/>
              <w:t>договором оказания услуг по передаче электрической энергии, то ежемесячно, до окончания 1-го дня месяца, следующего за расчетным периодом, за исключением исполнителей коммунальных услуг.</w:t>
            </w:r>
          </w:p>
          <w:p w:rsidR="00B770A7" w:rsidRDefault="00B770A7" w:rsidP="00451CA2">
            <w:pPr>
              <w:jc w:val="both"/>
            </w:pPr>
          </w:p>
          <w:p w:rsidR="00B770A7" w:rsidRPr="007F2723" w:rsidRDefault="00B770A7" w:rsidP="00451CA2">
            <w:pPr>
              <w:jc w:val="both"/>
            </w:pPr>
            <w:r>
              <w:rPr>
                <w:rFonts w:ascii="Roboto" w:hAnsi="Roboto"/>
                <w:color w:val="000000"/>
                <w:sz w:val="23"/>
                <w:szCs w:val="23"/>
              </w:rPr>
              <w:t>до окончания 26-го дня расчетного месяца</w:t>
            </w:r>
            <w:r w:rsidRPr="007F2723">
              <w:rPr>
                <w:sz w:val="22"/>
                <w:szCs w:val="22"/>
              </w:rPr>
              <w:t xml:space="preserve"> - для исполнителей коммунальных услуг</w:t>
            </w:r>
          </w:p>
        </w:tc>
        <w:tc>
          <w:tcPr>
            <w:tcW w:w="794" w:type="pct"/>
            <w:shd w:val="clear" w:color="auto" w:fill="auto"/>
          </w:tcPr>
          <w:p w:rsidR="00B770A7" w:rsidRPr="007F2723" w:rsidRDefault="00B770A7" w:rsidP="00451CA2">
            <w:pPr>
              <w:jc w:val="both"/>
            </w:pPr>
            <w:r w:rsidRPr="007F2723">
              <w:rPr>
                <w:sz w:val="22"/>
                <w:szCs w:val="22"/>
              </w:rPr>
              <w:lastRenderedPageBreak/>
              <w:t xml:space="preserve">Пункты </w:t>
            </w:r>
            <w:r>
              <w:rPr>
                <w:sz w:val="22"/>
                <w:szCs w:val="22"/>
              </w:rPr>
              <w:t>159-161</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lastRenderedPageBreak/>
              <w:t>3</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Передача показаний расчетных приборов учета гарантирующему поставщику (</w:t>
            </w:r>
            <w:proofErr w:type="spellStart"/>
            <w:r w:rsidRPr="007F2723">
              <w:rPr>
                <w:sz w:val="22"/>
                <w:szCs w:val="22"/>
              </w:rPr>
              <w:t>энергосбытовой</w:t>
            </w:r>
            <w:proofErr w:type="spellEnd"/>
            <w:r w:rsidRPr="007F2723">
              <w:rPr>
                <w:sz w:val="22"/>
                <w:szCs w:val="22"/>
              </w:rPr>
              <w:t xml:space="preserve">, </w:t>
            </w:r>
            <w:proofErr w:type="spellStart"/>
            <w:r w:rsidRPr="007F2723">
              <w:rPr>
                <w:sz w:val="22"/>
                <w:szCs w:val="22"/>
              </w:rPr>
              <w:t>энергоснабжающей</w:t>
            </w:r>
            <w:proofErr w:type="spellEnd"/>
            <w:r w:rsidRPr="007F2723">
              <w:rPr>
                <w:sz w:val="22"/>
                <w:szCs w:val="22"/>
              </w:rPr>
              <w:t xml:space="preserve"> организации)</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B770A7" w:rsidRPr="007F2723" w:rsidRDefault="00B770A7" w:rsidP="00451CA2">
            <w:pPr>
              <w:jc w:val="both"/>
            </w:pP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Передача показаний расчетных приборов учета гарантирующему поставщику (</w:t>
            </w:r>
            <w:proofErr w:type="spellStart"/>
            <w:r w:rsidRPr="007F2723">
              <w:rPr>
                <w:sz w:val="22"/>
                <w:szCs w:val="22"/>
              </w:rPr>
              <w:t>энергосбытовой</w:t>
            </w:r>
            <w:proofErr w:type="spellEnd"/>
            <w:r w:rsidRPr="007F2723">
              <w:rPr>
                <w:sz w:val="22"/>
                <w:szCs w:val="22"/>
              </w:rPr>
              <w:t xml:space="preserve">, </w:t>
            </w:r>
            <w:proofErr w:type="spellStart"/>
            <w:r w:rsidRPr="007F2723">
              <w:rPr>
                <w:sz w:val="22"/>
                <w:szCs w:val="22"/>
              </w:rPr>
              <w:t>энергоснабжающей</w:t>
            </w:r>
            <w:proofErr w:type="spellEnd"/>
            <w:r w:rsidRPr="007F2723">
              <w:rPr>
                <w:sz w:val="22"/>
                <w:szCs w:val="22"/>
              </w:rPr>
              <w:t xml:space="preserve"> организации)</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До окончания 2-го числа месяца, следующего за расчетным периодом</w:t>
            </w:r>
          </w:p>
        </w:tc>
        <w:tc>
          <w:tcPr>
            <w:tcW w:w="794" w:type="pct"/>
            <w:shd w:val="clear" w:color="auto" w:fill="auto"/>
          </w:tcPr>
          <w:p w:rsidR="00B770A7" w:rsidRPr="007F2723" w:rsidRDefault="00B770A7" w:rsidP="00451CA2">
            <w:pPr>
              <w:jc w:val="both"/>
            </w:pPr>
            <w:r w:rsidRPr="007F2723">
              <w:rPr>
                <w:sz w:val="22"/>
                <w:szCs w:val="22"/>
              </w:rPr>
              <w:t>Пункт 16</w:t>
            </w:r>
            <w:r>
              <w:rPr>
                <w:sz w:val="22"/>
                <w:szCs w:val="22"/>
              </w:rPr>
              <w:t>0</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4</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Определение переданной электрической энергии потребителю:</w:t>
            </w:r>
          </w:p>
        </w:tc>
        <w:tc>
          <w:tcPr>
            <w:tcW w:w="911" w:type="pct"/>
            <w:shd w:val="clear" w:color="auto" w:fill="auto"/>
          </w:tcPr>
          <w:p w:rsidR="00B770A7" w:rsidRPr="007F2723" w:rsidRDefault="00B770A7" w:rsidP="00451CA2">
            <w:pPr>
              <w:autoSpaceDE w:val="0"/>
              <w:autoSpaceDN w:val="0"/>
              <w:adjustRightInd w:val="0"/>
              <w:jc w:val="both"/>
            </w:pPr>
          </w:p>
        </w:tc>
        <w:tc>
          <w:tcPr>
            <w:tcW w:w="928" w:type="pct"/>
            <w:shd w:val="clear" w:color="auto" w:fill="auto"/>
          </w:tcPr>
          <w:p w:rsidR="00B770A7" w:rsidRPr="007F2723" w:rsidRDefault="00B770A7" w:rsidP="00451CA2">
            <w:pPr>
              <w:autoSpaceDE w:val="0"/>
              <w:autoSpaceDN w:val="0"/>
              <w:adjustRightInd w:val="0"/>
              <w:jc w:val="both"/>
            </w:pPr>
          </w:p>
        </w:tc>
        <w:tc>
          <w:tcPr>
            <w:tcW w:w="672" w:type="pct"/>
            <w:shd w:val="clear" w:color="auto" w:fill="auto"/>
          </w:tcPr>
          <w:p w:rsidR="00B770A7" w:rsidRPr="007F2723" w:rsidRDefault="00B770A7" w:rsidP="00451CA2">
            <w:pPr>
              <w:jc w:val="both"/>
            </w:pPr>
          </w:p>
        </w:tc>
        <w:tc>
          <w:tcPr>
            <w:tcW w:w="854" w:type="pct"/>
            <w:shd w:val="clear" w:color="auto" w:fill="auto"/>
          </w:tcPr>
          <w:p w:rsidR="00B770A7" w:rsidRPr="007F2723" w:rsidRDefault="00B770A7" w:rsidP="00451CA2">
            <w:pPr>
              <w:autoSpaceDE w:val="0"/>
              <w:autoSpaceDN w:val="0"/>
              <w:adjustRightInd w:val="0"/>
              <w:jc w:val="both"/>
            </w:pPr>
          </w:p>
        </w:tc>
        <w:tc>
          <w:tcPr>
            <w:tcW w:w="794" w:type="pct"/>
            <w:shd w:val="clear" w:color="auto" w:fill="auto"/>
          </w:tcPr>
          <w:p w:rsidR="00B770A7" w:rsidRPr="007F2723" w:rsidRDefault="00B770A7" w:rsidP="00451CA2">
            <w:pPr>
              <w:jc w:val="both"/>
            </w:pP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4.1</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по показаниям </w:t>
            </w:r>
            <w:r w:rsidRPr="007F2723">
              <w:rPr>
                <w:sz w:val="22"/>
                <w:szCs w:val="22"/>
              </w:rPr>
              <w:lastRenderedPageBreak/>
              <w:t>расчетных приборов учета электрической энергии</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Потребителем своевременно представлены показания приборов учета, или  получены данные с АИИС КУЭ</w:t>
            </w: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Расчет объемов переданной  электроэнергии на основании переданных потребителем показаний </w:t>
            </w:r>
            <w:r w:rsidRPr="007F2723">
              <w:rPr>
                <w:sz w:val="22"/>
                <w:szCs w:val="22"/>
              </w:rPr>
              <w:lastRenderedPageBreak/>
              <w:t>или данных, полученных с АИИС КУЭ</w:t>
            </w:r>
          </w:p>
        </w:tc>
        <w:tc>
          <w:tcPr>
            <w:tcW w:w="672" w:type="pct"/>
            <w:shd w:val="clear" w:color="auto" w:fill="auto"/>
          </w:tcPr>
          <w:p w:rsidR="00B770A7" w:rsidRPr="007F2723" w:rsidRDefault="00B770A7" w:rsidP="00451CA2">
            <w:pPr>
              <w:jc w:val="both"/>
            </w:pPr>
            <w:r w:rsidRPr="007F2723">
              <w:rPr>
                <w:sz w:val="22"/>
                <w:szCs w:val="22"/>
              </w:rPr>
              <w:lastRenderedPageBreak/>
              <w:t>Письменно, с использованием программного обеспечения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до 10-го числа месяца, следующего за расчётным периодом</w:t>
            </w:r>
          </w:p>
        </w:tc>
        <w:tc>
          <w:tcPr>
            <w:tcW w:w="794" w:type="pct"/>
            <w:shd w:val="clear" w:color="auto" w:fill="auto"/>
          </w:tcPr>
          <w:p w:rsidR="00B770A7" w:rsidRPr="007F2723" w:rsidRDefault="00B770A7" w:rsidP="00451CA2">
            <w:pPr>
              <w:jc w:val="both"/>
            </w:pPr>
            <w:r w:rsidRPr="007F2723">
              <w:rPr>
                <w:sz w:val="22"/>
                <w:szCs w:val="22"/>
              </w:rPr>
              <w:t xml:space="preserve">Пункт </w:t>
            </w:r>
            <w:r>
              <w:rPr>
                <w:sz w:val="22"/>
                <w:szCs w:val="22"/>
              </w:rPr>
              <w:t>140</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lastRenderedPageBreak/>
              <w:t>4.2</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Отсутствие показаний расчетных  приборов учета электрической энергии у сетевой организации после </w:t>
            </w:r>
            <w:r w:rsidRPr="00F43BA9">
              <w:rPr>
                <w:sz w:val="22"/>
                <w:szCs w:val="22"/>
              </w:rPr>
              <w:t>2-го рабочего дня месяца</w:t>
            </w:r>
            <w:r w:rsidRPr="007F2723">
              <w:rPr>
                <w:sz w:val="22"/>
                <w:szCs w:val="22"/>
              </w:rPr>
              <w:t>,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t>Письменно, с использованием программного обеспечения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до 10 числа месяца следующего за расчетным</w:t>
            </w:r>
          </w:p>
        </w:tc>
        <w:tc>
          <w:tcPr>
            <w:tcW w:w="794" w:type="pct"/>
            <w:shd w:val="clear" w:color="auto" w:fill="auto"/>
          </w:tcPr>
          <w:p w:rsidR="00B770A7" w:rsidRPr="007F2723" w:rsidRDefault="00B770A7" w:rsidP="00451CA2">
            <w:pPr>
              <w:jc w:val="both"/>
            </w:pPr>
            <w:r w:rsidRPr="007F2723">
              <w:rPr>
                <w:sz w:val="22"/>
                <w:szCs w:val="22"/>
              </w:rPr>
              <w:t xml:space="preserve">Пункт </w:t>
            </w:r>
            <w:r>
              <w:rPr>
                <w:sz w:val="22"/>
                <w:szCs w:val="22"/>
              </w:rPr>
              <w:t>164</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4.3</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Определение объемов переданной электрической энергии потребителю расчетным способом</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 xml:space="preserve">-юридическими лицами (за исключением исполнителей коммунальных услуг) в течение 1-го и 2-го </w:t>
            </w:r>
            <w:r w:rsidRPr="007F2723">
              <w:rPr>
                <w:sz w:val="22"/>
                <w:szCs w:val="22"/>
              </w:rPr>
              <w:lastRenderedPageBreak/>
              <w:t>расчетных периодов подряд;</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 xml:space="preserve">- физическими лицами и исполнителями коммунальных услуг  </w:t>
            </w:r>
            <w:r>
              <w:rPr>
                <w:rFonts w:ascii="Roboto" w:hAnsi="Roboto"/>
                <w:color w:val="000000"/>
                <w:sz w:val="23"/>
                <w:szCs w:val="23"/>
              </w:rPr>
              <w:t>за период не менее 6 месяцев</w:t>
            </w:r>
            <w:r w:rsidRPr="007F2723">
              <w:rPr>
                <w:sz w:val="22"/>
                <w:szCs w:val="22"/>
              </w:rPr>
              <w:t xml:space="preserve"> </w:t>
            </w: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Определение объемов переданной электрической энергии потребителю в отсутствие показаний счетчиков осуществляется:</w:t>
            </w:r>
          </w:p>
          <w:p w:rsidR="00B770A7" w:rsidRPr="007F2723" w:rsidRDefault="00B770A7" w:rsidP="00451CA2">
            <w:pPr>
              <w:autoSpaceDE w:val="0"/>
              <w:autoSpaceDN w:val="0"/>
              <w:adjustRightInd w:val="0"/>
              <w:jc w:val="both"/>
            </w:pPr>
            <w:r w:rsidRPr="007F2723">
              <w:rPr>
                <w:sz w:val="22"/>
                <w:szCs w:val="22"/>
              </w:rPr>
              <w:t xml:space="preserve">1. Для потребителей юридических лиц, за исключением исполнителей коммунальных услуг, </w:t>
            </w:r>
            <w:r w:rsidRPr="00E44970">
              <w:rPr>
                <w:sz w:val="22"/>
                <w:szCs w:val="22"/>
              </w:rPr>
              <w:t>на основании замещающей информацией или иными расчетными способами</w:t>
            </w:r>
            <w:r>
              <w:rPr>
                <w:sz w:val="22"/>
                <w:szCs w:val="22"/>
              </w:rPr>
              <w:t xml:space="preserve">. </w:t>
            </w:r>
            <w:r>
              <w:rPr>
                <w:rFonts w:ascii="Roboto" w:hAnsi="Roboto"/>
                <w:color w:val="000000"/>
                <w:sz w:val="23"/>
                <w:szCs w:val="23"/>
              </w:rPr>
              <w:t xml:space="preserve">Замещающей </w:t>
            </w:r>
            <w:r>
              <w:rPr>
                <w:rFonts w:ascii="Roboto" w:hAnsi="Roboto"/>
                <w:color w:val="000000"/>
                <w:sz w:val="23"/>
                <w:szCs w:val="23"/>
              </w:rPr>
              <w:lastRenderedPageBreak/>
              <w:t>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r w:rsidRPr="007F2723">
              <w:rPr>
                <w:sz w:val="22"/>
                <w:szCs w:val="22"/>
              </w:rPr>
              <w:t>;</w:t>
            </w:r>
          </w:p>
          <w:p w:rsidR="00B770A7" w:rsidRPr="007F2723" w:rsidRDefault="00B770A7" w:rsidP="00451CA2">
            <w:pPr>
              <w:autoSpaceDE w:val="0"/>
              <w:autoSpaceDN w:val="0"/>
              <w:adjustRightInd w:val="0"/>
              <w:jc w:val="both"/>
            </w:pPr>
            <w:r w:rsidRPr="007F2723">
              <w:rPr>
                <w:sz w:val="22"/>
                <w:szCs w:val="22"/>
              </w:rPr>
              <w:t>2. 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Письменно, с использованием программного обеспечения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 до 10 числа </w:t>
            </w:r>
            <w:proofErr w:type="gramStart"/>
            <w:r w:rsidRPr="007F2723">
              <w:rPr>
                <w:sz w:val="22"/>
                <w:szCs w:val="22"/>
              </w:rPr>
              <w:t>месяца</w:t>
            </w:r>
            <w:proofErr w:type="gramEnd"/>
            <w:r w:rsidRPr="007F2723">
              <w:rPr>
                <w:sz w:val="22"/>
                <w:szCs w:val="22"/>
              </w:rPr>
              <w:t xml:space="preserve"> следующего за расчетным</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Пункты </w:t>
            </w:r>
            <w:r>
              <w:rPr>
                <w:sz w:val="22"/>
                <w:szCs w:val="22"/>
              </w:rPr>
              <w:t>140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N w:val="0"/>
              <w:adjustRightInd w:val="0"/>
              <w:jc w:val="both"/>
            </w:pPr>
            <w:r w:rsidRPr="007F2723">
              <w:rPr>
                <w:sz w:val="22"/>
                <w:szCs w:val="22"/>
              </w:rPr>
              <w:t>Пункт 59</w:t>
            </w:r>
            <w:r>
              <w:rPr>
                <w:sz w:val="22"/>
                <w:szCs w:val="22"/>
              </w:rPr>
              <w:t xml:space="preserve"> </w:t>
            </w:r>
            <w:r w:rsidRPr="007F2723">
              <w:rPr>
                <w:sz w:val="22"/>
                <w:szCs w:val="22"/>
              </w:rPr>
              <w:t>Правил предоставления коммунальных услуг</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lastRenderedPageBreak/>
              <w:t>4.4</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w:t>
            </w:r>
            <w:r w:rsidRPr="007F2723">
              <w:rPr>
                <w:sz w:val="22"/>
                <w:szCs w:val="22"/>
              </w:rPr>
              <w:lastRenderedPageBreak/>
              <w:t xml:space="preserve">потребителю расчетным способом </w:t>
            </w:r>
          </w:p>
          <w:p w:rsidR="00B770A7" w:rsidRPr="007F2723" w:rsidRDefault="00B770A7" w:rsidP="00451CA2">
            <w:pPr>
              <w:autoSpaceDE w:val="0"/>
              <w:autoSpaceDN w:val="0"/>
              <w:adjustRightInd w:val="0"/>
              <w:jc w:val="both"/>
            </w:pP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 xml:space="preserve">Не предоставление показаний расчетных и контрольных приборов учета электрической энергии в адрес сетевой </w:t>
            </w:r>
            <w:proofErr w:type="gramStart"/>
            <w:r w:rsidRPr="007F2723">
              <w:rPr>
                <w:sz w:val="22"/>
                <w:szCs w:val="22"/>
              </w:rPr>
              <w:lastRenderedPageBreak/>
              <w:t>организации  после</w:t>
            </w:r>
            <w:proofErr w:type="gramEnd"/>
            <w:r w:rsidRPr="007F2723">
              <w:rPr>
                <w:sz w:val="22"/>
                <w:szCs w:val="22"/>
              </w:rPr>
              <w:t xml:space="preserve"> 2 числа месяца, следующего за расчетным:</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 юридическими лицами (за исключением исполнителей коммунальных услуг) более 2-х расчетных периодов подряд;</w:t>
            </w:r>
          </w:p>
          <w:p w:rsidR="00B770A7" w:rsidRPr="007F2723" w:rsidRDefault="00B770A7" w:rsidP="00451CA2">
            <w:pPr>
              <w:autoSpaceDE w:val="0"/>
              <w:autoSpaceDN w:val="0"/>
              <w:adjustRightInd w:val="0"/>
              <w:jc w:val="both"/>
            </w:pPr>
            <w:r w:rsidRPr="007F2723">
              <w:rPr>
                <w:sz w:val="22"/>
                <w:szCs w:val="22"/>
              </w:rPr>
              <w:t xml:space="preserve">- физическими лицами и исполнителями коммунальных услуг  </w:t>
            </w:r>
            <w:r>
              <w:rPr>
                <w:rFonts w:ascii="Roboto" w:hAnsi="Roboto"/>
                <w:color w:val="000000"/>
                <w:sz w:val="23"/>
                <w:szCs w:val="23"/>
              </w:rPr>
              <w:t>за период не менее 6 месяцев</w:t>
            </w: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 xml:space="preserve">Определение объемов переданной электрической энергии потребителю в отсутствие </w:t>
            </w:r>
            <w:r w:rsidRPr="007F2723">
              <w:rPr>
                <w:sz w:val="22"/>
                <w:szCs w:val="22"/>
              </w:rPr>
              <w:lastRenderedPageBreak/>
              <w:t xml:space="preserve">показаний приборов </w:t>
            </w:r>
            <w:proofErr w:type="gramStart"/>
            <w:r w:rsidRPr="007F2723">
              <w:rPr>
                <w:sz w:val="22"/>
                <w:szCs w:val="22"/>
              </w:rPr>
              <w:t>учета  осуществляется</w:t>
            </w:r>
            <w:proofErr w:type="gramEnd"/>
            <w:r w:rsidRPr="007F2723">
              <w:rPr>
                <w:sz w:val="22"/>
                <w:szCs w:val="22"/>
              </w:rPr>
              <w:t>:</w:t>
            </w:r>
          </w:p>
          <w:p w:rsidR="00B770A7" w:rsidRPr="007F2723" w:rsidRDefault="00B770A7" w:rsidP="00451CA2">
            <w:pPr>
              <w:autoSpaceDE w:val="0"/>
              <w:autoSpaceDN w:val="0"/>
              <w:adjustRightInd w:val="0"/>
              <w:jc w:val="both"/>
            </w:pPr>
            <w:r w:rsidRPr="007F2723">
              <w:rPr>
                <w:sz w:val="22"/>
                <w:szCs w:val="22"/>
              </w:rPr>
              <w:t>1. Для потребителей юридических лиц, за исключением исполнителей коммунальных услуг, начиная</w:t>
            </w:r>
            <w:r>
              <w:rPr>
                <w:sz w:val="22"/>
                <w:szCs w:val="22"/>
              </w:rPr>
              <w:t xml:space="preserve"> </w:t>
            </w:r>
            <w:proofErr w:type="spellStart"/>
            <w:r>
              <w:rPr>
                <w:rFonts w:ascii="Roboto" w:hAnsi="Roboto"/>
                <w:color w:val="000000"/>
                <w:sz w:val="23"/>
                <w:szCs w:val="23"/>
              </w:rPr>
              <w:t>начиная</w:t>
            </w:r>
            <w:proofErr w:type="spellEnd"/>
            <w:r>
              <w:rPr>
                <w:rFonts w:ascii="Roboto" w:hAnsi="Roboto"/>
                <w:color w:val="000000"/>
                <w:sz w:val="23"/>
                <w:szCs w:val="23"/>
              </w:rPr>
              <w:t xml:space="preserve"> с </w:t>
            </w:r>
            <w:r>
              <w:rPr>
                <w:rStyle w:val="highlightsearch4"/>
                <w:rFonts w:ascii="Roboto" w:hAnsi="Roboto"/>
                <w:color w:val="000000"/>
                <w:sz w:val="23"/>
                <w:szCs w:val="23"/>
              </w:rPr>
              <w:t>3</w:t>
            </w:r>
            <w:r>
              <w:rPr>
                <w:rFonts w:ascii="Roboto" w:hAnsi="Roboto"/>
                <w:color w:val="000000"/>
                <w:sz w:val="23"/>
                <w:szCs w:val="23"/>
              </w:rPr>
              <w:t>-го расчетного периода</w:t>
            </w:r>
            <w:r w:rsidRPr="007F2723">
              <w:rPr>
                <w:sz w:val="22"/>
                <w:szCs w:val="22"/>
              </w:rPr>
              <w:t xml:space="preserve"> </w:t>
            </w:r>
            <w:r>
              <w:rPr>
                <w:rFonts w:ascii="Roboto" w:hAnsi="Roboto"/>
                <w:color w:val="000000"/>
                <w:sz w:val="23"/>
                <w:szCs w:val="23"/>
              </w:rPr>
              <w:t>вплоть до даты установки и допуска в эксплуатацию расчетного прибора учета - расчетным способом</w:t>
            </w:r>
            <w:r w:rsidRPr="007F2723">
              <w:rPr>
                <w:sz w:val="22"/>
                <w:szCs w:val="22"/>
              </w:rPr>
              <w:t>.</w:t>
            </w:r>
          </w:p>
          <w:p w:rsidR="00B770A7" w:rsidRPr="007F2723" w:rsidRDefault="00B770A7" w:rsidP="00451CA2">
            <w:pPr>
              <w:autoSpaceDE w:val="0"/>
              <w:autoSpaceDN w:val="0"/>
              <w:adjustRightInd w:val="0"/>
              <w:jc w:val="both"/>
            </w:pPr>
            <w:r w:rsidRPr="007F2723">
              <w:rPr>
                <w:sz w:val="22"/>
                <w:szCs w:val="22"/>
              </w:rPr>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Письменно, с использованием программного обеспечения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 xml:space="preserve"> </w:t>
            </w: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 xml:space="preserve">Пункт </w:t>
            </w:r>
            <w:r>
              <w:rPr>
                <w:sz w:val="22"/>
                <w:szCs w:val="22"/>
              </w:rPr>
              <w:t>180</w:t>
            </w:r>
            <w:r w:rsidRPr="007F2723">
              <w:rPr>
                <w:sz w:val="22"/>
                <w:szCs w:val="22"/>
              </w:rPr>
              <w:t xml:space="preserve"> </w:t>
            </w:r>
            <w:r>
              <w:rPr>
                <w:sz w:val="22"/>
                <w:szCs w:val="22"/>
              </w:rPr>
              <w:t xml:space="preserve">Основных положений функционирования розничных рынков </w:t>
            </w:r>
            <w:r>
              <w:rPr>
                <w:sz w:val="22"/>
                <w:szCs w:val="22"/>
              </w:rPr>
              <w:lastRenderedPageBreak/>
              <w:t>электрической энергии</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Пункт 60 Правил предоставления коммунальных услуг</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4.5</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потребителю расчетным способом </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Наличие двух актов об отказе в доступе к приборам учета электрической энергии, составленных подряд</w:t>
            </w: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потребителю при 2-кратном </w:t>
            </w:r>
            <w:proofErr w:type="spellStart"/>
            <w:r w:rsidRPr="007F2723">
              <w:rPr>
                <w:sz w:val="22"/>
                <w:szCs w:val="22"/>
              </w:rPr>
              <w:t>недопуске</w:t>
            </w:r>
            <w:proofErr w:type="spellEnd"/>
            <w:r w:rsidRPr="007F2723">
              <w:rPr>
                <w:sz w:val="22"/>
                <w:szCs w:val="22"/>
              </w:rPr>
              <w:t xml:space="preserve"> к счетчикам осуществляется:</w:t>
            </w:r>
          </w:p>
          <w:p w:rsidR="00B770A7" w:rsidRPr="007F2723" w:rsidRDefault="00B770A7" w:rsidP="00451CA2">
            <w:pPr>
              <w:autoSpaceDE w:val="0"/>
              <w:autoSpaceDN w:val="0"/>
              <w:adjustRightInd w:val="0"/>
              <w:jc w:val="both"/>
            </w:pPr>
            <w:r w:rsidRPr="007F2723">
              <w:rPr>
                <w:sz w:val="22"/>
                <w:szCs w:val="22"/>
              </w:rPr>
              <w:t xml:space="preserve">1. Для потребителей юридических лиц, за исключением исполнителей коммунальных услуг, </w:t>
            </w:r>
            <w:r w:rsidRPr="00143CFC">
              <w:rPr>
                <w:sz w:val="22"/>
                <w:szCs w:val="22"/>
              </w:rPr>
              <w:t xml:space="preserve">с даты 2-го </w:t>
            </w:r>
            <w:proofErr w:type="spellStart"/>
            <w:r w:rsidRPr="00143CFC">
              <w:rPr>
                <w:sz w:val="22"/>
                <w:szCs w:val="22"/>
              </w:rPr>
              <w:t>недопуска</w:t>
            </w:r>
            <w:proofErr w:type="spellEnd"/>
            <w:r w:rsidRPr="00143CFC">
              <w:rPr>
                <w:sz w:val="22"/>
                <w:szCs w:val="22"/>
              </w:rPr>
              <w:t xml:space="preserve"> вплоть до даты допуска к </w:t>
            </w:r>
            <w:r w:rsidRPr="00143CFC">
              <w:rPr>
                <w:sz w:val="22"/>
                <w:szCs w:val="22"/>
              </w:rPr>
              <w:lastRenderedPageBreak/>
              <w:t xml:space="preserve">расчетному прибору учета определяется исходя из увеличенных в 1,5 раза значений, определенных на основании контрольного прибора учета, в соответствии с пунктом 164 </w:t>
            </w:r>
            <w:r>
              <w:rPr>
                <w:sz w:val="22"/>
                <w:szCs w:val="22"/>
              </w:rPr>
              <w:t>Основных положений</w:t>
            </w:r>
            <w:r w:rsidRPr="00143CFC">
              <w:rPr>
                <w:sz w:val="22"/>
                <w:szCs w:val="22"/>
              </w:rPr>
              <w:t>, а при его отсутствии - исходя из увеличенных в 1,5 раза значений, определенных на основании замещающей информации</w:t>
            </w:r>
            <w:r w:rsidRPr="007F2723">
              <w:rPr>
                <w:sz w:val="22"/>
                <w:szCs w:val="22"/>
              </w:rPr>
              <w:t>.</w:t>
            </w:r>
          </w:p>
          <w:p w:rsidR="00B770A7" w:rsidRPr="007F2723" w:rsidRDefault="00B770A7" w:rsidP="00451CA2">
            <w:pPr>
              <w:autoSpaceDE w:val="0"/>
              <w:autoSpaceDN w:val="0"/>
              <w:adjustRightInd w:val="0"/>
              <w:jc w:val="both"/>
            </w:pPr>
            <w:r w:rsidRPr="007F2723">
              <w:rPr>
                <w:sz w:val="22"/>
                <w:szCs w:val="22"/>
              </w:rPr>
              <w:t xml:space="preserve">2. 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w:t>
            </w:r>
            <w:r w:rsidRPr="007F2723">
              <w:rPr>
                <w:sz w:val="22"/>
                <w:szCs w:val="22"/>
              </w:rPr>
              <w:lastRenderedPageBreak/>
              <w:t>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Письменно, с использованием программного обеспечения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до 10 числа месяца следующего за расчетным</w:t>
            </w: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Пункт </w:t>
            </w:r>
            <w:r>
              <w:rPr>
                <w:sz w:val="22"/>
                <w:szCs w:val="22"/>
              </w:rPr>
              <w:t>182 Основных положений функционирования розничных рынков электрической энергии</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Пункты 59 (в), 60, 85 (д, е) Правил предоставления коммунальных услуг</w:t>
            </w: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lastRenderedPageBreak/>
              <w:t>4.6</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Определение объемов переданной электрической энергии потребителю расчетным способом</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Отсутствие прибора учета за </w:t>
            </w:r>
            <w:proofErr w:type="gramStart"/>
            <w:r w:rsidRPr="007F2723">
              <w:rPr>
                <w:sz w:val="22"/>
                <w:szCs w:val="22"/>
              </w:rPr>
              <w:t>исключением  случаев</w:t>
            </w:r>
            <w:proofErr w:type="gramEnd"/>
            <w:r w:rsidRPr="007F2723">
              <w:rPr>
                <w:sz w:val="22"/>
                <w:szCs w:val="22"/>
              </w:rPr>
              <w:t xml:space="preserve">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B770A7" w:rsidRPr="007F2723" w:rsidRDefault="00B770A7" w:rsidP="00451CA2">
            <w:pPr>
              <w:autoSpaceDE w:val="0"/>
              <w:autoSpaceDN w:val="0"/>
              <w:adjustRightInd w:val="0"/>
              <w:jc w:val="both"/>
            </w:pP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w:t>
            </w:r>
            <w:proofErr w:type="gramStart"/>
            <w:r w:rsidRPr="007F2723">
              <w:rPr>
                <w:sz w:val="22"/>
                <w:szCs w:val="22"/>
              </w:rPr>
              <w:t>потребителю  в</w:t>
            </w:r>
            <w:proofErr w:type="gramEnd"/>
            <w:r w:rsidRPr="007F2723">
              <w:rPr>
                <w:sz w:val="22"/>
                <w:szCs w:val="22"/>
              </w:rPr>
              <w:t xml:space="preserve"> случае отсутствия прибора учета электрической энергии осуществляется:</w:t>
            </w:r>
          </w:p>
          <w:p w:rsidR="00B770A7" w:rsidRPr="007F2723" w:rsidRDefault="00B770A7" w:rsidP="00451CA2">
            <w:pPr>
              <w:autoSpaceDE w:val="0"/>
              <w:autoSpaceDN w:val="0"/>
              <w:adjustRightInd w:val="0"/>
              <w:jc w:val="both"/>
            </w:pPr>
            <w:r w:rsidRPr="007F2723">
              <w:rPr>
                <w:sz w:val="22"/>
                <w:szCs w:val="22"/>
              </w:rPr>
              <w:t xml:space="preserve">1. Для потребителей юридических лиц, за исключением исполнителей коммунальных услуг и потребителей с потребляемой мощностью менее 5 кВт - расчетным </w:t>
            </w:r>
            <w:proofErr w:type="gramStart"/>
            <w:r w:rsidRPr="007F2723">
              <w:rPr>
                <w:sz w:val="22"/>
                <w:szCs w:val="22"/>
              </w:rPr>
              <w:t>способом  путем</w:t>
            </w:r>
            <w:proofErr w:type="gramEnd"/>
            <w:r w:rsidRPr="007F2723">
              <w:rPr>
                <w:sz w:val="22"/>
                <w:szCs w:val="22"/>
              </w:rPr>
              <w:t xml:space="preserve"> произведения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 исходя из допустимой длительной </w:t>
            </w:r>
            <w:r w:rsidRPr="007F2723">
              <w:rPr>
                <w:sz w:val="22"/>
                <w:szCs w:val="22"/>
              </w:rPr>
              <w:lastRenderedPageBreak/>
              <w:t>токовой нагрузки вводного провода (кабеля);</w:t>
            </w:r>
          </w:p>
          <w:p w:rsidR="00B770A7" w:rsidRPr="007F2723" w:rsidRDefault="00B770A7" w:rsidP="00451CA2">
            <w:pPr>
              <w:autoSpaceDE w:val="0"/>
              <w:autoSpaceDN w:val="0"/>
              <w:adjustRightInd w:val="0"/>
              <w:jc w:val="both"/>
            </w:pPr>
            <w:r w:rsidRPr="007F2723">
              <w:rPr>
                <w:sz w:val="22"/>
                <w:szCs w:val="22"/>
              </w:rPr>
              <w:t xml:space="preserve">2. Для исполнителей коммунальных услуг и физических лиц - исходя из нормативов потребления электрической энергии. </w:t>
            </w:r>
          </w:p>
          <w:p w:rsidR="00B770A7" w:rsidRPr="007F2723" w:rsidRDefault="00B770A7" w:rsidP="00451CA2">
            <w:pPr>
              <w:autoSpaceDE w:val="0"/>
              <w:autoSpaceDN w:val="0"/>
              <w:adjustRightInd w:val="0"/>
              <w:jc w:val="both"/>
            </w:pP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Письменно, с использованием программного обеспечения</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rsidR="00B770A7" w:rsidRPr="007F2723" w:rsidRDefault="00B770A7" w:rsidP="00451CA2">
            <w:pPr>
              <w:autoSpaceDE w:val="0"/>
              <w:autoSpaceDN w:val="0"/>
              <w:adjustRightInd w:val="0"/>
              <w:jc w:val="both"/>
            </w:pP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Пункт </w:t>
            </w:r>
            <w:r>
              <w:rPr>
                <w:sz w:val="22"/>
                <w:szCs w:val="22"/>
              </w:rPr>
              <w:t>185</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 xml:space="preserve">Пункт 181 </w:t>
            </w:r>
            <w:r>
              <w:rPr>
                <w:sz w:val="22"/>
                <w:szCs w:val="22"/>
              </w:rPr>
              <w:t>Основных положений функционирования розничных рынков электрической энергии</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r w:rsidRPr="007F2723">
              <w:rPr>
                <w:sz w:val="22"/>
                <w:szCs w:val="22"/>
              </w:rPr>
              <w:t xml:space="preserve">Пункт </w:t>
            </w:r>
            <w:r>
              <w:rPr>
                <w:sz w:val="22"/>
                <w:szCs w:val="22"/>
              </w:rPr>
              <w:t>42</w:t>
            </w:r>
            <w:r w:rsidRPr="007F2723">
              <w:rPr>
                <w:sz w:val="22"/>
                <w:szCs w:val="22"/>
              </w:rPr>
              <w:t xml:space="preserve"> Правил предоставления коммунальных услуг</w:t>
            </w: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p w:rsidR="00B770A7" w:rsidRPr="007F2723" w:rsidRDefault="00B770A7" w:rsidP="00451CA2">
            <w:pPr>
              <w:autoSpaceDE w:val="0"/>
              <w:autoSpaceDN w:val="0"/>
              <w:adjustRightInd w:val="0"/>
              <w:jc w:val="both"/>
            </w:pP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4.7</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переданной электрической энергии потребителю расчетным способом </w:t>
            </w:r>
          </w:p>
        </w:tc>
        <w:tc>
          <w:tcPr>
            <w:tcW w:w="911" w:type="pct"/>
            <w:shd w:val="clear" w:color="auto" w:fill="auto"/>
          </w:tcPr>
          <w:p w:rsidR="00B770A7" w:rsidRPr="00DE0E0E" w:rsidRDefault="00B770A7" w:rsidP="00451CA2">
            <w:pPr>
              <w:autoSpaceDE w:val="0"/>
              <w:autoSpaceDN w:val="0"/>
              <w:adjustRightInd w:val="0"/>
              <w:jc w:val="both"/>
              <w:rPr>
                <w:sz w:val="22"/>
                <w:szCs w:val="22"/>
              </w:rPr>
            </w:pPr>
            <w:r w:rsidRPr="007F2723">
              <w:rPr>
                <w:sz w:val="22"/>
                <w:szCs w:val="22"/>
              </w:rPr>
              <w:t xml:space="preserve">Установка прибора учета не на границе балансовой принадлежности потребителя и </w:t>
            </w:r>
            <w:r>
              <w:rPr>
                <w:sz w:val="22"/>
                <w:szCs w:val="22"/>
              </w:rPr>
              <w:t>ПАО «</w:t>
            </w:r>
            <w:r w:rsidRPr="00C0441B">
              <w:rPr>
                <w:sz w:val="26"/>
                <w:szCs w:val="22"/>
              </w:rPr>
              <w:t>Россети</w:t>
            </w:r>
            <w:r>
              <w:rPr>
                <w:sz w:val="22"/>
                <w:szCs w:val="22"/>
              </w:rPr>
              <w:t xml:space="preserve"> Центр»</w:t>
            </w:r>
          </w:p>
          <w:p w:rsidR="00B770A7" w:rsidRPr="007F2723" w:rsidRDefault="00B770A7" w:rsidP="00451CA2">
            <w:pPr>
              <w:autoSpaceDE w:val="0"/>
              <w:autoSpaceDN w:val="0"/>
              <w:adjustRightInd w:val="0"/>
              <w:jc w:val="both"/>
            </w:pP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t>Письменно, с использованием программного обеспечения и аттестованной методики</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до 10 числа месяца следующего за расчетным</w:t>
            </w: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Пункты </w:t>
            </w:r>
            <w:r>
              <w:rPr>
                <w:sz w:val="22"/>
                <w:szCs w:val="22"/>
              </w:rPr>
              <w:t>148</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rsidR="00B770A7" w:rsidRPr="007F2723" w:rsidRDefault="00B770A7" w:rsidP="00451CA2">
            <w:pPr>
              <w:autoSpaceDE w:val="0"/>
              <w:autoSpaceDN w:val="0"/>
              <w:adjustRightInd w:val="0"/>
              <w:jc w:val="both"/>
            </w:pP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t>4.8</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объема </w:t>
            </w:r>
            <w:proofErr w:type="spellStart"/>
            <w:r w:rsidRPr="007F2723">
              <w:rPr>
                <w:sz w:val="22"/>
                <w:szCs w:val="22"/>
              </w:rPr>
              <w:t>безучетного</w:t>
            </w:r>
            <w:proofErr w:type="spellEnd"/>
            <w:r w:rsidRPr="007F2723">
              <w:rPr>
                <w:sz w:val="22"/>
                <w:szCs w:val="22"/>
              </w:rPr>
              <w:t xml:space="preserve"> потребления электрической энергии</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Выявление факта </w:t>
            </w:r>
            <w:proofErr w:type="spellStart"/>
            <w:r w:rsidRPr="007F2723">
              <w:rPr>
                <w:sz w:val="22"/>
                <w:szCs w:val="22"/>
              </w:rPr>
              <w:t>безучетного</w:t>
            </w:r>
            <w:proofErr w:type="spellEnd"/>
            <w:r w:rsidRPr="007F2723">
              <w:rPr>
                <w:sz w:val="22"/>
                <w:szCs w:val="22"/>
              </w:rPr>
              <w:t xml:space="preserve"> потребления электроэнергии и составления акта о неучтенном потреблении электроэнергии.  </w:t>
            </w:r>
          </w:p>
        </w:tc>
        <w:tc>
          <w:tcPr>
            <w:tcW w:w="928"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Определение объемов </w:t>
            </w:r>
            <w:proofErr w:type="spellStart"/>
            <w:r w:rsidRPr="007F2723">
              <w:rPr>
                <w:sz w:val="22"/>
                <w:szCs w:val="22"/>
              </w:rPr>
              <w:t>безучетного</w:t>
            </w:r>
            <w:proofErr w:type="spellEnd"/>
            <w:r w:rsidRPr="007F2723">
              <w:rPr>
                <w:sz w:val="22"/>
                <w:szCs w:val="22"/>
              </w:rPr>
              <w:t xml:space="preserve"> потребления электрической </w:t>
            </w:r>
            <w:proofErr w:type="gramStart"/>
            <w:r w:rsidRPr="007F2723">
              <w:rPr>
                <w:sz w:val="22"/>
                <w:szCs w:val="22"/>
              </w:rPr>
              <w:t>энергии  потребителем</w:t>
            </w:r>
            <w:proofErr w:type="gramEnd"/>
            <w:r w:rsidRPr="007F2723">
              <w:rPr>
                <w:sz w:val="22"/>
                <w:szCs w:val="22"/>
              </w:rPr>
              <w:t xml:space="preserve"> осуществляется с даты предыдущей контрольной проверки прибора учета электрической энергии </w:t>
            </w:r>
            <w:r w:rsidRPr="007F2723">
              <w:rPr>
                <w:sz w:val="22"/>
                <w:szCs w:val="22"/>
              </w:rPr>
              <w:lastRenderedPageBreak/>
              <w:t>(но не более, чем за 1 год) в следующем порядке:</w:t>
            </w:r>
          </w:p>
          <w:p w:rsidR="00B770A7" w:rsidRPr="007F2723" w:rsidRDefault="00B770A7" w:rsidP="00451CA2">
            <w:pPr>
              <w:autoSpaceDE w:val="0"/>
              <w:autoSpaceDN w:val="0"/>
              <w:adjustRightInd w:val="0"/>
              <w:jc w:val="both"/>
            </w:pPr>
            <w:r w:rsidRPr="007F2723">
              <w:rPr>
                <w:sz w:val="22"/>
                <w:szCs w:val="22"/>
              </w:rPr>
              <w:t xml:space="preserve">1. Для потребителей юридических лиц, за исключением исполнителей коммунальных услуг, расчетным </w:t>
            </w:r>
            <w:proofErr w:type="gramStart"/>
            <w:r w:rsidRPr="007F2723">
              <w:rPr>
                <w:sz w:val="22"/>
                <w:szCs w:val="22"/>
              </w:rPr>
              <w:t>способом  путем</w:t>
            </w:r>
            <w:proofErr w:type="gramEnd"/>
            <w:r w:rsidRPr="007F2723">
              <w:rPr>
                <w:sz w:val="22"/>
                <w:szCs w:val="22"/>
              </w:rPr>
              <w:t xml:space="preserve"> произведения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 исходя из допустимой длительной токовой нагрузки вводного провода (кабеля).</w:t>
            </w:r>
          </w:p>
          <w:p w:rsidR="00B770A7" w:rsidRDefault="00B770A7" w:rsidP="00451CA2">
            <w:pPr>
              <w:autoSpaceDE w:val="0"/>
              <w:autoSpaceDN w:val="0"/>
              <w:adjustRightInd w:val="0"/>
              <w:jc w:val="both"/>
            </w:pPr>
            <w:r w:rsidRPr="007F2723">
              <w:rPr>
                <w:sz w:val="22"/>
                <w:szCs w:val="22"/>
              </w:rPr>
              <w:t xml:space="preserve">2. </w:t>
            </w:r>
            <w:r>
              <w:rPr>
                <w:rFonts w:asciiTheme="minorHAnsi" w:hAnsiTheme="minorHAnsi"/>
                <w:color w:val="000000"/>
                <w:sz w:val="23"/>
                <w:szCs w:val="23"/>
              </w:rPr>
              <w:t>В</w:t>
            </w:r>
            <w:r>
              <w:rPr>
                <w:rFonts w:ascii="Roboto" w:hAnsi="Roboto"/>
                <w:color w:val="000000"/>
                <w:sz w:val="23"/>
                <w:szCs w:val="23"/>
              </w:rPr>
              <w:t xml:space="preserve"> отношении приравненных к населению категорий потребителей </w:t>
            </w:r>
            <w:r>
              <w:rPr>
                <w:sz w:val="22"/>
                <w:szCs w:val="22"/>
              </w:rPr>
              <w:t xml:space="preserve">(за исключением </w:t>
            </w:r>
            <w:r w:rsidRPr="007F2723">
              <w:rPr>
                <w:sz w:val="22"/>
                <w:szCs w:val="22"/>
              </w:rPr>
              <w:t>исполнителей коммунальных услуг</w:t>
            </w:r>
            <w:r>
              <w:rPr>
                <w:sz w:val="22"/>
                <w:szCs w:val="22"/>
              </w:rPr>
              <w:t>)</w:t>
            </w:r>
            <w:r w:rsidRPr="007F2723">
              <w:rPr>
                <w:sz w:val="22"/>
                <w:szCs w:val="22"/>
              </w:rPr>
              <w:t xml:space="preserve"> </w:t>
            </w:r>
            <w:r>
              <w:rPr>
                <w:rFonts w:ascii="Roboto" w:hAnsi="Roboto"/>
                <w:color w:val="000000"/>
                <w:sz w:val="23"/>
                <w:szCs w:val="23"/>
              </w:rPr>
              <w:t xml:space="preserve">определяется исходя из объема, рассчитанного на основании показаний расчетного прибора учета за аналогичный расчетный период </w:t>
            </w:r>
            <w:r>
              <w:rPr>
                <w:rFonts w:ascii="Roboto" w:hAnsi="Roboto"/>
                <w:color w:val="000000"/>
                <w:sz w:val="23"/>
                <w:szCs w:val="23"/>
              </w:rPr>
              <w:lastRenderedPageBreak/>
              <w:t>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r w:rsidRPr="007F2723">
              <w:rPr>
                <w:sz w:val="22"/>
                <w:szCs w:val="22"/>
              </w:rPr>
              <w:t>.</w:t>
            </w:r>
          </w:p>
          <w:p w:rsidR="00B770A7" w:rsidRPr="00DE0E0E" w:rsidRDefault="00B770A7" w:rsidP="00451CA2">
            <w:pPr>
              <w:autoSpaceDE w:val="0"/>
              <w:autoSpaceDN w:val="0"/>
              <w:adjustRightInd w:val="0"/>
              <w:jc w:val="both"/>
              <w:rPr>
                <w:b/>
              </w:rPr>
            </w:pPr>
            <w:r>
              <w:t xml:space="preserve">3. В отношении </w:t>
            </w:r>
            <w:r w:rsidRPr="007F2723">
              <w:rPr>
                <w:sz w:val="22"/>
                <w:szCs w:val="22"/>
              </w:rPr>
              <w:t>исполнителей коммунальных услуг</w:t>
            </w:r>
            <w:r>
              <w:t xml:space="preserve"> </w:t>
            </w:r>
            <w:r w:rsidRPr="00B2654B">
              <w:t xml:space="preserve">и </w:t>
            </w:r>
            <w:r w:rsidRPr="00DE0E0E">
              <w:t>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Письменно</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в течение 2 рабочих дней с момента составления акта о </w:t>
            </w:r>
            <w:proofErr w:type="spellStart"/>
            <w:r w:rsidRPr="007F2723">
              <w:rPr>
                <w:sz w:val="22"/>
                <w:szCs w:val="22"/>
              </w:rPr>
              <w:t>безучетном</w:t>
            </w:r>
            <w:proofErr w:type="spellEnd"/>
            <w:r w:rsidRPr="007F2723">
              <w:rPr>
                <w:sz w:val="22"/>
                <w:szCs w:val="22"/>
              </w:rPr>
              <w:t xml:space="preserve"> потреблении</w:t>
            </w: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Пункты </w:t>
            </w:r>
            <w:r>
              <w:rPr>
                <w:sz w:val="22"/>
                <w:szCs w:val="22"/>
              </w:rPr>
              <w:t>187</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rsidR="00B770A7" w:rsidRPr="007F2723" w:rsidRDefault="00B770A7" w:rsidP="00451CA2">
            <w:pPr>
              <w:autoSpaceDE w:val="0"/>
              <w:autoSpaceDN w:val="0"/>
              <w:adjustRightInd w:val="0"/>
              <w:jc w:val="both"/>
            </w:pPr>
          </w:p>
        </w:tc>
      </w:tr>
      <w:tr w:rsidR="00B770A7" w:rsidRPr="00FB79C1" w:rsidTr="00451CA2">
        <w:trPr>
          <w:trHeight w:val="400"/>
        </w:trPr>
        <w:tc>
          <w:tcPr>
            <w:tcW w:w="199" w:type="pct"/>
            <w:shd w:val="clear" w:color="auto" w:fill="auto"/>
          </w:tcPr>
          <w:p w:rsidR="00B770A7" w:rsidRPr="007F2723" w:rsidRDefault="00B770A7" w:rsidP="00451CA2">
            <w:pPr>
              <w:jc w:val="both"/>
              <w:rPr>
                <w:b/>
                <w:bCs/>
              </w:rPr>
            </w:pPr>
            <w:r w:rsidRPr="007F2723">
              <w:rPr>
                <w:b/>
                <w:bCs/>
                <w:sz w:val="22"/>
                <w:szCs w:val="22"/>
              </w:rPr>
              <w:lastRenderedPageBreak/>
              <w:t>4.9</w:t>
            </w:r>
          </w:p>
        </w:tc>
        <w:tc>
          <w:tcPr>
            <w:tcW w:w="642" w:type="pct"/>
            <w:shd w:val="clear" w:color="auto" w:fill="auto"/>
          </w:tcPr>
          <w:p w:rsidR="00B770A7" w:rsidRPr="007F2723" w:rsidRDefault="00B770A7" w:rsidP="00451CA2">
            <w:pPr>
              <w:autoSpaceDE w:val="0"/>
              <w:autoSpaceDN w:val="0"/>
              <w:adjustRightInd w:val="0"/>
              <w:jc w:val="both"/>
            </w:pPr>
            <w:r w:rsidRPr="007F2723">
              <w:rPr>
                <w:sz w:val="22"/>
                <w:szCs w:val="22"/>
              </w:rPr>
              <w:t>Определение объема бездоговорного потребления электрической энергии</w:t>
            </w:r>
          </w:p>
        </w:tc>
        <w:tc>
          <w:tcPr>
            <w:tcW w:w="911"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Выявление факта бездоговорного потребления электроэнергии и составления акта о бездоговорном </w:t>
            </w:r>
            <w:r w:rsidRPr="007F2723">
              <w:rPr>
                <w:sz w:val="22"/>
                <w:szCs w:val="22"/>
              </w:rPr>
              <w:lastRenderedPageBreak/>
              <w:t xml:space="preserve">потреблении электроэнергии. </w:t>
            </w:r>
          </w:p>
        </w:tc>
        <w:tc>
          <w:tcPr>
            <w:tcW w:w="928" w:type="pct"/>
            <w:shd w:val="clear" w:color="auto" w:fill="auto"/>
          </w:tcPr>
          <w:p w:rsidR="00B770A7" w:rsidRPr="007F2723" w:rsidRDefault="00B770A7" w:rsidP="00451CA2">
            <w:pPr>
              <w:autoSpaceDE w:val="0"/>
              <w:autoSpaceDN w:val="0"/>
              <w:adjustRightInd w:val="0"/>
              <w:jc w:val="both"/>
            </w:pPr>
            <w:r>
              <w:rPr>
                <w:rFonts w:ascii="Roboto" w:hAnsi="Roboto"/>
                <w:color w:val="000000"/>
                <w:sz w:val="23"/>
                <w:szCs w:val="23"/>
              </w:rPr>
              <w:lastRenderedPageBreak/>
              <w:t>Объем бездоговорного потребления электрической энергии определяется расчетным способом</w:t>
            </w:r>
            <w:r w:rsidRPr="007F2723">
              <w:rPr>
                <w:sz w:val="22"/>
                <w:szCs w:val="22"/>
              </w:rPr>
              <w:t xml:space="preserve"> </w:t>
            </w:r>
            <w:r>
              <w:rPr>
                <w:rFonts w:ascii="Roboto" w:hAnsi="Roboto"/>
                <w:color w:val="000000"/>
                <w:sz w:val="23"/>
                <w:szCs w:val="23"/>
              </w:rPr>
              <w:t xml:space="preserve">за период </w:t>
            </w:r>
            <w:r>
              <w:rPr>
                <w:rFonts w:ascii="Roboto" w:hAnsi="Roboto"/>
                <w:color w:val="000000"/>
                <w:sz w:val="23"/>
                <w:szCs w:val="23"/>
              </w:rPr>
              <w:lastRenderedPageBreak/>
              <w:t>времени, в течение которого осуществлялось бездоговорное потребление электрической энергии, но не более чем за один год</w:t>
            </w:r>
            <w:r>
              <w:rPr>
                <w:sz w:val="22"/>
                <w:szCs w:val="22"/>
              </w:rPr>
              <w:t xml:space="preserve"> </w:t>
            </w:r>
            <w:r w:rsidRPr="007F2723">
              <w:rPr>
                <w:sz w:val="22"/>
                <w:szCs w:val="22"/>
              </w:rPr>
              <w:t xml:space="preserve">расчетным </w:t>
            </w:r>
            <w:proofErr w:type="gramStart"/>
            <w:r w:rsidRPr="007F2723">
              <w:rPr>
                <w:sz w:val="22"/>
                <w:szCs w:val="22"/>
              </w:rPr>
              <w:t>способом  исходя</w:t>
            </w:r>
            <w:proofErr w:type="gramEnd"/>
            <w:r w:rsidRPr="007F2723">
              <w:rPr>
                <w:sz w:val="22"/>
                <w:szCs w:val="22"/>
              </w:rPr>
              <w:t xml:space="preserve"> из допустимой длительной токовой нагрузки каждого вводного провода (кабеля).</w:t>
            </w:r>
          </w:p>
          <w:p w:rsidR="00B770A7" w:rsidRPr="007F2723" w:rsidRDefault="00B770A7" w:rsidP="00451CA2">
            <w:pPr>
              <w:autoSpaceDE w:val="0"/>
              <w:autoSpaceDN w:val="0"/>
              <w:adjustRightInd w:val="0"/>
              <w:jc w:val="both"/>
            </w:pPr>
          </w:p>
        </w:tc>
        <w:tc>
          <w:tcPr>
            <w:tcW w:w="672" w:type="pct"/>
            <w:shd w:val="clear" w:color="auto" w:fill="auto"/>
          </w:tcPr>
          <w:p w:rsidR="00B770A7" w:rsidRPr="007F2723" w:rsidRDefault="00B770A7" w:rsidP="00451CA2">
            <w:pPr>
              <w:autoSpaceDE w:val="0"/>
              <w:autoSpaceDN w:val="0"/>
              <w:adjustRightInd w:val="0"/>
              <w:jc w:val="both"/>
            </w:pPr>
            <w:r w:rsidRPr="007F2723">
              <w:rPr>
                <w:sz w:val="22"/>
                <w:szCs w:val="22"/>
              </w:rPr>
              <w:lastRenderedPageBreak/>
              <w:t>Письменно</w:t>
            </w:r>
          </w:p>
        </w:tc>
        <w:tc>
          <w:tcPr>
            <w:tcW w:w="854" w:type="pct"/>
            <w:shd w:val="clear" w:color="auto" w:fill="auto"/>
          </w:tcPr>
          <w:p w:rsidR="00B770A7" w:rsidRPr="007F2723" w:rsidRDefault="00B770A7" w:rsidP="00451CA2">
            <w:pPr>
              <w:autoSpaceDE w:val="0"/>
              <w:autoSpaceDN w:val="0"/>
              <w:adjustRightInd w:val="0"/>
              <w:jc w:val="both"/>
            </w:pPr>
            <w:r w:rsidRPr="007F2723">
              <w:rPr>
                <w:sz w:val="22"/>
                <w:szCs w:val="22"/>
              </w:rPr>
              <w:t>в течение 2 рабочих дней с момента составления акта о бездоговорном потреблении</w:t>
            </w:r>
          </w:p>
        </w:tc>
        <w:tc>
          <w:tcPr>
            <w:tcW w:w="794" w:type="pct"/>
            <w:shd w:val="clear" w:color="auto" w:fill="auto"/>
          </w:tcPr>
          <w:p w:rsidR="00B770A7" w:rsidRPr="007F2723" w:rsidRDefault="00B770A7" w:rsidP="00451CA2">
            <w:pPr>
              <w:autoSpaceDE w:val="0"/>
              <w:autoSpaceDN w:val="0"/>
              <w:adjustRightInd w:val="0"/>
              <w:jc w:val="both"/>
            </w:pPr>
            <w:r w:rsidRPr="007F2723">
              <w:rPr>
                <w:sz w:val="22"/>
                <w:szCs w:val="22"/>
              </w:rPr>
              <w:t xml:space="preserve">Пункты </w:t>
            </w:r>
            <w:r>
              <w:rPr>
                <w:sz w:val="22"/>
                <w:szCs w:val="22"/>
              </w:rPr>
              <w:t>189</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bl>
    <w:p w:rsidR="00B770A7" w:rsidRPr="00CF4E08" w:rsidRDefault="00B770A7" w:rsidP="00B770A7">
      <w:pPr>
        <w:autoSpaceDE w:val="0"/>
        <w:autoSpaceDN w:val="0"/>
        <w:adjustRightInd w:val="0"/>
        <w:spacing w:before="120"/>
        <w:ind w:firstLine="567"/>
        <w:jc w:val="both"/>
        <w:outlineLvl w:val="0"/>
        <w:rPr>
          <w:b/>
          <w:sz w:val="26"/>
          <w:szCs w:val="26"/>
        </w:rPr>
      </w:pPr>
      <w:r>
        <w:rPr>
          <w:b/>
          <w:sz w:val="26"/>
          <w:szCs w:val="26"/>
        </w:rPr>
        <w:t>С</w:t>
      </w:r>
      <w:r w:rsidRPr="00CF4E08">
        <w:rPr>
          <w:b/>
          <w:sz w:val="26"/>
          <w:szCs w:val="26"/>
        </w:rPr>
        <w:t>пособ подачи заявки:</w:t>
      </w:r>
    </w:p>
    <w:p w:rsidR="00B770A7" w:rsidRPr="00CF4E08" w:rsidRDefault="00B770A7" w:rsidP="004136FB">
      <w:pPr>
        <w:pStyle w:val="a3"/>
        <w:autoSpaceDE w:val="0"/>
        <w:autoSpaceDN w:val="0"/>
        <w:adjustRightInd w:val="0"/>
        <w:spacing w:before="120"/>
        <w:ind w:left="567"/>
        <w:jc w:val="both"/>
        <w:outlineLvl w:val="0"/>
        <w:rPr>
          <w:sz w:val="26"/>
          <w:szCs w:val="26"/>
        </w:rPr>
      </w:pPr>
      <w:bookmarkStart w:id="1" w:name="_GoBack"/>
      <w:bookmarkEnd w:id="1"/>
      <w:r w:rsidRPr="00CF4E08">
        <w:rPr>
          <w:sz w:val="26"/>
          <w:szCs w:val="26"/>
        </w:rPr>
        <w:t>обращение подается в письменном виде на бумажном носителе в Центр обслуживания потребителей, по почте.</w:t>
      </w:r>
    </w:p>
    <w:p w:rsidR="00B770A7" w:rsidRPr="008B0251" w:rsidRDefault="00B770A7" w:rsidP="00B770A7">
      <w:pPr>
        <w:autoSpaceDE w:val="0"/>
        <w:autoSpaceDN w:val="0"/>
        <w:adjustRightInd w:val="0"/>
        <w:spacing w:before="120"/>
        <w:ind w:firstLine="567"/>
        <w:jc w:val="both"/>
        <w:rPr>
          <w:sz w:val="26"/>
          <w:szCs w:val="26"/>
        </w:rPr>
      </w:pPr>
      <w:r w:rsidRPr="008B0251">
        <w:rPr>
          <w:b/>
          <w:sz w:val="26"/>
          <w:szCs w:val="26"/>
        </w:rPr>
        <w:t>Контактная информация для направления обращений:</w:t>
      </w:r>
      <w:r w:rsidRPr="008B0251">
        <w:rPr>
          <w:sz w:val="26"/>
          <w:szCs w:val="26"/>
        </w:rPr>
        <w:t xml:space="preserve"> </w:t>
      </w:r>
    </w:p>
    <w:p w:rsidR="00B770A7" w:rsidRPr="008B0251" w:rsidRDefault="00B770A7" w:rsidP="00B770A7">
      <w:pPr>
        <w:autoSpaceDE w:val="0"/>
        <w:autoSpaceDN w:val="0"/>
        <w:adjustRightInd w:val="0"/>
        <w:ind w:firstLine="567"/>
        <w:jc w:val="both"/>
        <w:rPr>
          <w:sz w:val="26"/>
          <w:szCs w:val="26"/>
        </w:rPr>
      </w:pPr>
      <w:r w:rsidRPr="008B0251">
        <w:rPr>
          <w:sz w:val="26"/>
          <w:szCs w:val="26"/>
        </w:rPr>
        <w:t xml:space="preserve">Номер Контакт-Центра: 13-50, </w:t>
      </w:r>
      <w:r>
        <w:rPr>
          <w:sz w:val="26"/>
          <w:szCs w:val="26"/>
        </w:rPr>
        <w:t>8 800-220-0-220</w:t>
      </w:r>
    </w:p>
    <w:p w:rsidR="00B770A7" w:rsidRPr="008B0251" w:rsidRDefault="00B770A7" w:rsidP="00B770A7">
      <w:pPr>
        <w:autoSpaceDE w:val="0"/>
        <w:autoSpaceDN w:val="0"/>
        <w:adjustRightInd w:val="0"/>
        <w:ind w:firstLine="567"/>
        <w:jc w:val="both"/>
        <w:rPr>
          <w:sz w:val="26"/>
          <w:szCs w:val="26"/>
        </w:rPr>
      </w:pPr>
      <w:r w:rsidRPr="008B0251">
        <w:rPr>
          <w:sz w:val="26"/>
          <w:szCs w:val="26"/>
        </w:rPr>
        <w:t xml:space="preserve">Адрес электронной почты </w:t>
      </w:r>
      <w:r>
        <w:rPr>
          <w:sz w:val="26"/>
          <w:szCs w:val="26"/>
        </w:rPr>
        <w:t>ПАО «</w:t>
      </w:r>
      <w:r w:rsidRPr="00C0441B">
        <w:rPr>
          <w:sz w:val="26"/>
          <w:szCs w:val="26"/>
        </w:rPr>
        <w:t>Россети</w:t>
      </w:r>
      <w:r>
        <w:rPr>
          <w:sz w:val="26"/>
          <w:szCs w:val="26"/>
        </w:rPr>
        <w:t xml:space="preserve"> Центр»</w:t>
      </w:r>
      <w:r w:rsidRPr="008B0251">
        <w:rPr>
          <w:sz w:val="26"/>
          <w:szCs w:val="26"/>
        </w:rPr>
        <w:t xml:space="preserve">: </w:t>
      </w:r>
      <w:proofErr w:type="spellStart"/>
      <w:r w:rsidRPr="008B0251">
        <w:rPr>
          <w:sz w:val="26"/>
          <w:szCs w:val="26"/>
          <w:lang w:val="en-US"/>
        </w:rPr>
        <w:t>posta</w:t>
      </w:r>
      <w:proofErr w:type="spellEnd"/>
      <w:r w:rsidRPr="008B0251">
        <w:rPr>
          <w:sz w:val="26"/>
          <w:szCs w:val="26"/>
        </w:rPr>
        <w:t>@</w:t>
      </w:r>
      <w:proofErr w:type="spellStart"/>
      <w:r w:rsidRPr="008B0251">
        <w:rPr>
          <w:sz w:val="26"/>
          <w:szCs w:val="26"/>
          <w:lang w:val="en-US"/>
        </w:rPr>
        <w:t>mrsk</w:t>
      </w:r>
      <w:proofErr w:type="spellEnd"/>
      <w:r w:rsidRPr="008B0251">
        <w:rPr>
          <w:sz w:val="26"/>
          <w:szCs w:val="26"/>
        </w:rPr>
        <w:t>-1.</w:t>
      </w:r>
      <w:proofErr w:type="spellStart"/>
      <w:r w:rsidRPr="008B0251">
        <w:rPr>
          <w:sz w:val="26"/>
          <w:szCs w:val="26"/>
          <w:lang w:val="en-US"/>
        </w:rPr>
        <w:t>ru</w:t>
      </w:r>
      <w:proofErr w:type="spellEnd"/>
    </w:p>
    <w:p w:rsidR="00B770A7" w:rsidRPr="00CF4E08" w:rsidRDefault="00B770A7" w:rsidP="00B770A7">
      <w:pPr>
        <w:pStyle w:val="a5"/>
        <w:tabs>
          <w:tab w:val="left" w:pos="0"/>
          <w:tab w:val="left" w:pos="1276"/>
        </w:tabs>
        <w:spacing w:after="0"/>
        <w:ind w:left="0" w:firstLine="567"/>
        <w:jc w:val="both"/>
        <w:rPr>
          <w:sz w:val="26"/>
          <w:szCs w:val="26"/>
        </w:rPr>
      </w:pPr>
      <w:r w:rsidRPr="008B0251">
        <w:rPr>
          <w:sz w:val="26"/>
          <w:szCs w:val="26"/>
        </w:rPr>
        <w:t xml:space="preserve">Адреса офисов обслуживания потребителей: </w:t>
      </w:r>
      <w:hyperlink r:id="rId7" w:history="1">
        <w:r w:rsidRPr="008B0251">
          <w:rPr>
            <w:color w:val="0000FF"/>
            <w:sz w:val="26"/>
            <w:szCs w:val="26"/>
            <w:u w:val="single"/>
          </w:rPr>
          <w:t>http://www.mrsk-1.ru/clients/customer-service/centers/</w:t>
        </w:r>
      </w:hyperlink>
    </w:p>
    <w:p w:rsidR="009D1549" w:rsidRPr="00B770A7" w:rsidRDefault="009D1549">
      <w:pPr>
        <w:rPr>
          <w:lang w:val="x-none"/>
        </w:rPr>
      </w:pPr>
    </w:p>
    <w:sectPr w:rsidR="009D1549" w:rsidRPr="00B770A7" w:rsidSect="00B770A7">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F7" w:rsidRDefault="005840F7" w:rsidP="00B770A7">
      <w:r>
        <w:separator/>
      </w:r>
    </w:p>
  </w:endnote>
  <w:endnote w:type="continuationSeparator" w:id="0">
    <w:p w:rsidR="005840F7" w:rsidRDefault="005840F7" w:rsidP="00B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F7" w:rsidRDefault="005840F7" w:rsidP="00B770A7">
      <w:r>
        <w:separator/>
      </w:r>
    </w:p>
  </w:footnote>
  <w:footnote w:type="continuationSeparator" w:id="0">
    <w:p w:rsidR="005840F7" w:rsidRDefault="005840F7" w:rsidP="00B770A7">
      <w:r>
        <w:continuationSeparator/>
      </w:r>
    </w:p>
  </w:footnote>
  <w:footnote w:id="1">
    <w:p w:rsidR="00B770A7" w:rsidRPr="005F3C01" w:rsidRDefault="00B770A7" w:rsidP="00B770A7">
      <w:pPr>
        <w:autoSpaceDE w:val="0"/>
        <w:autoSpaceDN w:val="0"/>
        <w:adjustRightInd w:val="0"/>
        <w:jc w:val="both"/>
        <w:rPr>
          <w:sz w:val="20"/>
          <w:szCs w:val="20"/>
        </w:rPr>
      </w:pPr>
      <w:r>
        <w:rPr>
          <w:rStyle w:val="a7"/>
        </w:rPr>
        <w:footnoteRef/>
      </w:r>
      <w:r>
        <w:t xml:space="preserve"> </w:t>
      </w:r>
      <w:r w:rsidRPr="005F3C01">
        <w:rPr>
          <w:sz w:val="20"/>
          <w:szCs w:val="20"/>
        </w:rPr>
        <w:t>Основы функционирования розничных рынков электрической энергии, утвержденные постановлением Правительства РФ от 04.05.2012 № 442</w:t>
      </w:r>
    </w:p>
  </w:footnote>
  <w:footnote w:id="2">
    <w:p w:rsidR="00B770A7" w:rsidRDefault="00B770A7" w:rsidP="00B770A7">
      <w:pPr>
        <w:autoSpaceDE w:val="0"/>
        <w:snapToGrid w:val="0"/>
        <w:jc w:val="both"/>
      </w:pPr>
      <w:r w:rsidRPr="005F3C01">
        <w:rPr>
          <w:rStyle w:val="a7"/>
          <w:sz w:val="20"/>
          <w:szCs w:val="20"/>
        </w:rPr>
        <w:footnoteRef/>
      </w:r>
      <w:r w:rsidRPr="005F3C01">
        <w:rPr>
          <w:sz w:val="20"/>
          <w:szCs w:val="20"/>
        </w:rPr>
        <w:t xml:space="preserve">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5874"/>
    <w:multiLevelType w:val="multilevel"/>
    <w:tmpl w:val="A81E273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ascii="Times New Roman" w:hAnsi="Times New Roman" w:cs="Times New Roman" w:hint="default"/>
        <w:b/>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3E0B755D"/>
    <w:multiLevelType w:val="hybridMultilevel"/>
    <w:tmpl w:val="0A74626E"/>
    <w:lvl w:ilvl="0" w:tplc="1F1E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7"/>
    <w:rsid w:val="000C48D0"/>
    <w:rsid w:val="00402127"/>
    <w:rsid w:val="004136FB"/>
    <w:rsid w:val="005840F7"/>
    <w:rsid w:val="009D1549"/>
    <w:rsid w:val="00B770A7"/>
    <w:rsid w:val="00ED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8B7C"/>
  <w15:chartTrackingRefBased/>
  <w15:docId w15:val="{EFBA5FFD-4650-4E8C-B874-6203D80F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0A7"/>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0A7"/>
    <w:rPr>
      <w:rFonts w:ascii="Cambria" w:eastAsia="Times New Roman" w:hAnsi="Cambria" w:cs="Times New Roman"/>
      <w:b/>
      <w:bCs/>
      <w:color w:val="365F91"/>
      <w:sz w:val="28"/>
      <w:szCs w:val="28"/>
      <w:lang w:val="x-none" w:eastAsia="ru-RU"/>
    </w:rPr>
  </w:style>
  <w:style w:type="paragraph" w:styleId="a3">
    <w:name w:val="List Paragraph"/>
    <w:basedOn w:val="a"/>
    <w:link w:val="a4"/>
    <w:uiPriority w:val="34"/>
    <w:qFormat/>
    <w:rsid w:val="00B770A7"/>
    <w:pPr>
      <w:ind w:left="720"/>
      <w:contextualSpacing/>
    </w:pPr>
    <w:rPr>
      <w:lang w:val="x-none"/>
    </w:rPr>
  </w:style>
  <w:style w:type="character" w:customStyle="1" w:styleId="a4">
    <w:name w:val="Абзац списка Знак"/>
    <w:link w:val="a3"/>
    <w:uiPriority w:val="34"/>
    <w:locked/>
    <w:rsid w:val="00B770A7"/>
    <w:rPr>
      <w:rFonts w:ascii="Times New Roman" w:eastAsia="Times New Roman" w:hAnsi="Times New Roman" w:cs="Times New Roman"/>
      <w:sz w:val="24"/>
      <w:szCs w:val="24"/>
      <w:lang w:val="x-none" w:eastAsia="ru-RU"/>
    </w:rPr>
  </w:style>
  <w:style w:type="paragraph" w:styleId="a5">
    <w:name w:val="Body Text Indent"/>
    <w:basedOn w:val="a"/>
    <w:link w:val="a6"/>
    <w:uiPriority w:val="99"/>
    <w:unhideWhenUsed/>
    <w:rsid w:val="00B770A7"/>
    <w:pPr>
      <w:spacing w:after="120"/>
      <w:ind w:left="283"/>
    </w:pPr>
    <w:rPr>
      <w:lang w:val="x-none" w:eastAsia="x-none"/>
    </w:rPr>
  </w:style>
  <w:style w:type="character" w:customStyle="1" w:styleId="a6">
    <w:name w:val="Основной текст с отступом Знак"/>
    <w:basedOn w:val="a0"/>
    <w:link w:val="a5"/>
    <w:uiPriority w:val="99"/>
    <w:rsid w:val="00B770A7"/>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B770A7"/>
    <w:pPr>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unhideWhenUsed/>
    <w:rsid w:val="00B770A7"/>
    <w:rPr>
      <w:vertAlign w:val="superscript"/>
    </w:rPr>
  </w:style>
  <w:style w:type="character" w:customStyle="1" w:styleId="highlightsearch4">
    <w:name w:val="highlightsearch4"/>
    <w:basedOn w:val="a0"/>
    <w:rsid w:val="00B7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rsk-1.ru/clients/customer-service/cen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 Светлана Игоревна</dc:creator>
  <cp:keywords/>
  <dc:description/>
  <cp:lastModifiedBy>Секрет Светлана Игоревна</cp:lastModifiedBy>
  <cp:revision>4</cp:revision>
  <cp:lastPrinted>2022-03-31T16:02:00Z</cp:lastPrinted>
  <dcterms:created xsi:type="dcterms:W3CDTF">2022-03-31T15:52:00Z</dcterms:created>
  <dcterms:modified xsi:type="dcterms:W3CDTF">2022-03-31T16:02:00Z</dcterms:modified>
</cp:coreProperties>
</file>