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39" w:rsidRPr="00065278" w:rsidRDefault="00C21E39" w:rsidP="000652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E39" w:rsidRPr="002F23FB" w:rsidRDefault="00C21E39" w:rsidP="0091161C">
      <w:pPr>
        <w:spacing w:after="0" w:line="240" w:lineRule="auto"/>
        <w:ind w:firstLine="709"/>
        <w:jc w:val="right"/>
        <w:outlineLvl w:val="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Appendix</w:t>
      </w:r>
      <w:r w:rsidRPr="002F23FB">
        <w:rPr>
          <w:rFonts w:ascii="Times New Roman" w:hAnsi="Times New Roman" w:cs="Times New Roman"/>
          <w:lang w:val="en-US"/>
        </w:rPr>
        <w:t xml:space="preserve"> 2</w:t>
      </w:r>
    </w:p>
    <w:p w:rsidR="00C21E39" w:rsidRPr="002F23FB" w:rsidRDefault="00C21E39" w:rsidP="0091161C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Methods of evaluation of the Company’s assets</w:t>
      </w:r>
    </w:p>
    <w:p w:rsidR="00C21E39" w:rsidRPr="002F23FB" w:rsidRDefault="00C21E39" w:rsidP="0091161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lang w:val="en-US"/>
        </w:rPr>
      </w:pPr>
    </w:p>
    <w:p w:rsidR="00C21E39" w:rsidRPr="002F23FB" w:rsidRDefault="00C21E39" w:rsidP="0091161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accordance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with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Decree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No</w:t>
      </w:r>
      <w:r w:rsidRPr="002F23FB">
        <w:rPr>
          <w:rFonts w:ascii="Times New Roman" w:hAnsi="Times New Roman" w:cs="Times New Roman"/>
          <w:lang w:val="en-US"/>
        </w:rPr>
        <w:t xml:space="preserve">. 519 </w:t>
      </w:r>
      <w:r>
        <w:rPr>
          <w:rFonts w:ascii="Times New Roman" w:hAnsi="Times New Roman" w:cs="Times New Roman"/>
          <w:lang w:val="en-US"/>
        </w:rPr>
        <w:t>of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 w:cs="Times New Roman"/>
              <w:lang w:val="en-US"/>
            </w:rPr>
            <w:t>Russian</w:t>
          </w:r>
          <w:r w:rsidRPr="002F23FB">
            <w:rPr>
              <w:rFonts w:ascii="Times New Roman" w:hAnsi="Times New Roman" w:cs="Times New Roman"/>
              <w:lang w:val="en-US"/>
            </w:rPr>
            <w:t xml:space="preserve"> </w:t>
          </w:r>
          <w:r>
            <w:rPr>
              <w:rFonts w:ascii="Times New Roman" w:hAnsi="Times New Roman" w:cs="Times New Roman"/>
              <w:lang w:val="en-US"/>
            </w:rPr>
            <w:t>Federation</w:t>
          </w:r>
        </w:smartTag>
      </w:smartTag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of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July</w:t>
      </w:r>
      <w:r w:rsidRPr="002F23FB">
        <w:rPr>
          <w:rFonts w:ascii="Times New Roman" w:hAnsi="Times New Roman" w:cs="Times New Roman"/>
          <w:lang w:val="en-US"/>
        </w:rPr>
        <w:t xml:space="preserve"> 6, 2001 </w:t>
      </w:r>
      <w:r>
        <w:rPr>
          <w:rFonts w:ascii="Times New Roman" w:hAnsi="Times New Roman" w:cs="Times New Roman"/>
          <w:lang w:val="en-US"/>
        </w:rPr>
        <w:t>"On</w:t>
      </w:r>
      <w:r w:rsidRPr="002F23F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 approval of the standards of evaluation" the following approaches are applied during the evaluation procedure:</w:t>
      </w:r>
    </w:p>
    <w:p w:rsidR="00C21E39" w:rsidRPr="004B6275" w:rsidRDefault="00C21E39" w:rsidP="009C6127">
      <w:pPr>
        <w:pStyle w:val="NormalWeb"/>
        <w:numPr>
          <w:ilvl w:val="0"/>
          <w:numId w:val="1"/>
        </w:numPr>
        <w:spacing w:before="0" w:beforeAutospacing="0" w:after="0" w:afterAutospacing="0"/>
        <w:ind w:left="720" w:firstLine="180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Cost</w:t>
      </w:r>
      <w:r w:rsidRPr="004B6275">
        <w:rPr>
          <w:rFonts w:ascii="Times New Roman" w:hAnsi="Times New Roman"/>
          <w:sz w:val="22"/>
          <w:szCs w:val="22"/>
          <w:lang w:val="en-US"/>
        </w:rPr>
        <w:t>-</w:t>
      </w:r>
      <w:r>
        <w:rPr>
          <w:rFonts w:ascii="Times New Roman" w:hAnsi="Times New Roman"/>
          <w:sz w:val="22"/>
          <w:szCs w:val="22"/>
          <w:lang w:val="en-US"/>
        </w:rPr>
        <w:t>based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approach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-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methods of evaluation of the cost of the evaluated object which are necessary to recover or substitute the evaluated object taking into consideration its deterioration</w:t>
      </w:r>
      <w:r w:rsidRPr="004B6275">
        <w:rPr>
          <w:rFonts w:ascii="Times New Roman" w:hAnsi="Times New Roman"/>
          <w:sz w:val="22"/>
          <w:szCs w:val="22"/>
          <w:lang w:val="en-US"/>
        </w:rPr>
        <w:t>;</w:t>
      </w:r>
    </w:p>
    <w:p w:rsidR="00C21E39" w:rsidRPr="004B6275" w:rsidRDefault="00C21E39" w:rsidP="009C6127">
      <w:pPr>
        <w:pStyle w:val="NormalWeb"/>
        <w:numPr>
          <w:ilvl w:val="0"/>
          <w:numId w:val="1"/>
        </w:numPr>
        <w:spacing w:before="0" w:beforeAutospacing="0" w:after="0" w:afterAutospacing="0"/>
        <w:ind w:left="720" w:firstLine="180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Comparative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approach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- </w:t>
      </w:r>
      <w:r>
        <w:rPr>
          <w:rFonts w:ascii="Times New Roman" w:hAnsi="Times New Roman"/>
          <w:sz w:val="22"/>
          <w:szCs w:val="22"/>
          <w:lang w:val="en-US"/>
        </w:rPr>
        <w:t>methods of evaluation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of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the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cost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of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the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evaluated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object based on comparison of the evaluated object with similar objects in regards of which there is some information on the prices for transactions with them</w:t>
      </w:r>
      <w:r w:rsidRPr="004B6275">
        <w:rPr>
          <w:rFonts w:ascii="Times New Roman" w:hAnsi="Times New Roman"/>
          <w:sz w:val="22"/>
          <w:szCs w:val="22"/>
          <w:lang w:val="en-US"/>
        </w:rPr>
        <w:t>;</w:t>
      </w:r>
    </w:p>
    <w:p w:rsidR="00C21E39" w:rsidRPr="00121ADF" w:rsidRDefault="00C21E39" w:rsidP="009C6127">
      <w:pPr>
        <w:pStyle w:val="NormalWeb"/>
        <w:numPr>
          <w:ilvl w:val="0"/>
          <w:numId w:val="1"/>
        </w:numPr>
        <w:spacing w:before="0" w:beforeAutospacing="0" w:after="0" w:afterAutospacing="0"/>
        <w:ind w:left="720" w:firstLine="180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Profit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approach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- </w:t>
      </w:r>
      <w:r>
        <w:rPr>
          <w:rFonts w:ascii="Times New Roman" w:hAnsi="Times New Roman"/>
          <w:sz w:val="22"/>
          <w:szCs w:val="22"/>
          <w:lang w:val="en-US"/>
        </w:rPr>
        <w:t>methods of evaluation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of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the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cost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of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the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evaluated</w:t>
      </w:r>
      <w:r w:rsidRPr="004B6275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object based on determination of expected income on the evaluated object</w:t>
      </w:r>
      <w:r w:rsidRPr="00121ADF">
        <w:rPr>
          <w:rFonts w:ascii="Times New Roman" w:hAnsi="Times New Roman"/>
          <w:sz w:val="22"/>
          <w:szCs w:val="22"/>
          <w:lang w:val="en-US"/>
        </w:rPr>
        <w:t>.</w:t>
      </w:r>
    </w:p>
    <w:p w:rsidR="00C21E39" w:rsidRPr="008A03A0" w:rsidRDefault="00C21E39" w:rsidP="009C6127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Method of evaluation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is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a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method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of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calculation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of</w:t>
      </w:r>
      <w:r w:rsidRPr="00121ADF">
        <w:rPr>
          <w:rFonts w:ascii="Times New Roman" w:hAnsi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the object price within one of the evaluation approaches.</w:t>
      </w:r>
    </w:p>
    <w:p w:rsidR="00C21E39" w:rsidRPr="008A03A0" w:rsidRDefault="00C21E39" w:rsidP="001844CE">
      <w:pPr>
        <w:spacing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Company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follows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Methodology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Guidelines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on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Evaluation of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Business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8A03A0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>or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Assets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of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RAO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UES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of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Russia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SDC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RAO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UES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of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Russia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which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is available on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Company website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at the following address:</w:t>
      </w:r>
      <w:r w:rsidRPr="008A03A0">
        <w:rPr>
          <w:rFonts w:ascii="Times New Roman" w:hAnsi="Times New Roman" w:cs="Times New Roman"/>
          <w:lang w:val="en-US"/>
        </w:rPr>
        <w:t xml:space="preserve"> </w:t>
      </w:r>
      <w:hyperlink r:id="rId5" w:history="1">
        <w:r w:rsidRPr="008A03A0">
          <w:rPr>
            <w:rStyle w:val="Hyperlink"/>
            <w:rFonts w:ascii="Times New Roman" w:hAnsi="Times New Roman"/>
            <w:lang w:val="en-US"/>
          </w:rPr>
          <w:t>http://www.mrsk-1.ru/stockholder/inform/metodi_ocenki/</w:t>
        </w:r>
      </w:hyperlink>
    </w:p>
    <w:sectPr w:rsidR="00C21E39" w:rsidRPr="008A03A0" w:rsidSect="00DC6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4F4"/>
    <w:multiLevelType w:val="hybridMultilevel"/>
    <w:tmpl w:val="0A40AB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278"/>
    <w:rsid w:val="00065278"/>
    <w:rsid w:val="00070D60"/>
    <w:rsid w:val="000D12FA"/>
    <w:rsid w:val="000F2712"/>
    <w:rsid w:val="00121ADF"/>
    <w:rsid w:val="001844CE"/>
    <w:rsid w:val="0018478D"/>
    <w:rsid w:val="002218E6"/>
    <w:rsid w:val="002662D1"/>
    <w:rsid w:val="002F23FB"/>
    <w:rsid w:val="003249CE"/>
    <w:rsid w:val="003A6DBA"/>
    <w:rsid w:val="003C30F8"/>
    <w:rsid w:val="00446B51"/>
    <w:rsid w:val="00485E85"/>
    <w:rsid w:val="004B6275"/>
    <w:rsid w:val="00520A8C"/>
    <w:rsid w:val="00670578"/>
    <w:rsid w:val="006C77AB"/>
    <w:rsid w:val="006E3CB1"/>
    <w:rsid w:val="006E5510"/>
    <w:rsid w:val="00701E59"/>
    <w:rsid w:val="0074066B"/>
    <w:rsid w:val="00804E00"/>
    <w:rsid w:val="008A03A0"/>
    <w:rsid w:val="0091161C"/>
    <w:rsid w:val="009C6127"/>
    <w:rsid w:val="00A721BC"/>
    <w:rsid w:val="00BB39FF"/>
    <w:rsid w:val="00BB7C06"/>
    <w:rsid w:val="00C21E39"/>
    <w:rsid w:val="00C57DC2"/>
    <w:rsid w:val="00DC670F"/>
    <w:rsid w:val="00DC68DE"/>
    <w:rsid w:val="00E078A9"/>
    <w:rsid w:val="00E8105B"/>
    <w:rsid w:val="00F10D54"/>
    <w:rsid w:val="00F5261E"/>
    <w:rsid w:val="00F53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DE"/>
    <w:pPr>
      <w:spacing w:after="200" w:line="276" w:lineRule="auto"/>
    </w:pPr>
    <w:rPr>
      <w:rFonts w:cs="Calibri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65278"/>
    <w:pPr>
      <w:spacing w:before="100" w:beforeAutospacing="1" w:after="100" w:afterAutospacing="1" w:line="240" w:lineRule="auto"/>
      <w:outlineLvl w:val="3"/>
    </w:pPr>
    <w:rPr>
      <w:rFonts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65278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rsid w:val="0006527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1161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A03A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0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rsk-1.ru/stockholder/inform/metodi_ocen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194</Words>
  <Characters>1072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</dc:title>
  <dc:subject/>
  <dc:creator>Bogomaz_AS</dc:creator>
  <cp:keywords/>
  <dc:description/>
  <cp:lastModifiedBy>moiseikin</cp:lastModifiedBy>
  <cp:revision>3</cp:revision>
  <cp:lastPrinted>2009-04-02T07:27:00Z</cp:lastPrinted>
  <dcterms:created xsi:type="dcterms:W3CDTF">2009-06-05T07:49:00Z</dcterms:created>
  <dcterms:modified xsi:type="dcterms:W3CDTF">2009-06-05T07:50:00Z</dcterms:modified>
</cp:coreProperties>
</file>