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4005F8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4005F8">
              <w:rPr>
                <w:b/>
                <w:sz w:val="26"/>
                <w:szCs w:val="26"/>
                <w:lang w:val="en-US"/>
              </w:rPr>
              <w:t>207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173271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2116980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173271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Скоба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СК-7-1А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173271">
        <w:rPr>
          <w:b/>
          <w:sz w:val="26"/>
          <w:szCs w:val="26"/>
          <w:u w:val="single"/>
        </w:rPr>
        <w:t>Скоба СК-7-1А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173271">
        <w:rPr>
          <w:b/>
          <w:sz w:val="26"/>
          <w:szCs w:val="26"/>
          <w:u w:val="single"/>
        </w:rPr>
        <w:t>ТУ 34 13.11420-89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173271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 13.11420-89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C0D" w:rsidRDefault="00B86C0D">
      <w:r>
        <w:separator/>
      </w:r>
    </w:p>
  </w:endnote>
  <w:endnote w:type="continuationSeparator" w:id="0">
    <w:p w:rsidR="00B86C0D" w:rsidRDefault="00B86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C0D" w:rsidRDefault="00B86C0D">
      <w:r>
        <w:separator/>
      </w:r>
    </w:p>
  </w:footnote>
  <w:footnote w:type="continuationSeparator" w:id="0">
    <w:p w:rsidR="00B86C0D" w:rsidRDefault="00B86C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27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271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5F8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6C0D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28FD3-1F43-482C-866A-CBA1F2FF7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2014-10-29T08:58:00Z</dcterms:created>
  <dcterms:modified xsi:type="dcterms:W3CDTF">2014-10-29T08:58:00Z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